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D233" w14:textId="6A7C3EEB" w:rsidR="00F1637E" w:rsidRDefault="00F1637E" w:rsidP="00F1637E">
      <w:pPr>
        <w:pStyle w:val="NormalWeb"/>
        <w:ind w:left="720"/>
        <w:jc w:val="center"/>
        <w:rPr>
          <w:rFonts w:ascii="Arial" w:eastAsiaTheme="minorHAnsi" w:hAnsi="Arial" w:cs="Arial"/>
          <w:b/>
          <w:bCs/>
          <w:color w:val="000000"/>
          <w:lang w:eastAsia="en-US"/>
        </w:rPr>
      </w:pPr>
      <w:r w:rsidRPr="00F1637E">
        <w:rPr>
          <w:rFonts w:ascii="Arial" w:eastAsiaTheme="minorHAnsi" w:hAnsi="Arial" w:cs="Arial"/>
          <w:b/>
          <w:bCs/>
          <w:color w:val="000000"/>
          <w:lang w:eastAsia="en-US"/>
        </w:rPr>
        <w:t>Caso de estudio</w:t>
      </w:r>
    </w:p>
    <w:p w14:paraId="3B86A479" w14:textId="0E22F8B9" w:rsidR="00980067" w:rsidRDefault="00980067" w:rsidP="00F1637E">
      <w:pPr>
        <w:pStyle w:val="NormalWeb"/>
        <w:ind w:left="720"/>
        <w:jc w:val="center"/>
        <w:rPr>
          <w:rFonts w:ascii="Arial" w:eastAsiaTheme="minorHAnsi" w:hAnsi="Arial" w:cs="Arial"/>
          <w:b/>
          <w:bCs/>
          <w:color w:val="000000"/>
          <w:lang w:eastAsia="en-US"/>
        </w:rPr>
      </w:pPr>
      <w:r>
        <w:rPr>
          <w:rFonts w:ascii="Arial" w:eastAsiaTheme="minorHAnsi" w:hAnsi="Arial" w:cs="Arial"/>
          <w:b/>
          <w:bCs/>
          <w:color w:val="000000"/>
          <w:lang w:eastAsia="en-US"/>
        </w:rPr>
        <w:t>Valoración de Empresas</w:t>
      </w:r>
    </w:p>
    <w:p w14:paraId="7B10BCE8" w14:textId="16D3F09E" w:rsidR="00F1637E" w:rsidRDefault="0084519B" w:rsidP="00F1637E">
      <w:pPr>
        <w:pStyle w:val="NormalWeb"/>
        <w:ind w:left="720"/>
        <w:jc w:val="center"/>
        <w:rPr>
          <w:rFonts w:ascii="Arial" w:eastAsiaTheme="minorHAnsi" w:hAnsi="Arial" w:cs="Arial"/>
          <w:b/>
          <w:bCs/>
          <w:color w:val="000000"/>
          <w:lang w:eastAsia="en-US"/>
        </w:rPr>
      </w:pPr>
      <w:r>
        <w:rPr>
          <w:rFonts w:ascii="Arial" w:eastAsiaTheme="minorHAnsi" w:hAnsi="Arial" w:cs="Arial"/>
          <w:b/>
          <w:bCs/>
          <w:color w:val="000000"/>
          <w:lang w:eastAsia="en-US"/>
        </w:rPr>
        <w:t>Noviembre</w:t>
      </w:r>
      <w:r w:rsidR="00F1637E">
        <w:rPr>
          <w:rFonts w:ascii="Arial" w:eastAsiaTheme="minorHAnsi" w:hAnsi="Arial" w:cs="Arial"/>
          <w:b/>
          <w:bCs/>
          <w:color w:val="000000"/>
          <w:lang w:eastAsia="en-US"/>
        </w:rPr>
        <w:t xml:space="preserve"> 2025</w:t>
      </w:r>
    </w:p>
    <w:p w14:paraId="7DA61CEF" w14:textId="24AC24E9" w:rsidR="00F1637E" w:rsidRPr="00F1637E" w:rsidRDefault="00F1637E" w:rsidP="00F1637E">
      <w:pPr>
        <w:pStyle w:val="NormalWeb"/>
        <w:numPr>
          <w:ilvl w:val="0"/>
          <w:numId w:val="2"/>
        </w:numPr>
        <w:jc w:val="both"/>
        <w:rPr>
          <w:rFonts w:ascii="Arial" w:eastAsiaTheme="minorHAnsi" w:hAnsi="Arial" w:cs="Arial"/>
          <w:b/>
          <w:bCs/>
          <w:color w:val="000000"/>
          <w:lang w:eastAsia="en-US"/>
        </w:rPr>
      </w:pPr>
      <w:r w:rsidRPr="00F1637E">
        <w:rPr>
          <w:rFonts w:ascii="Arial" w:eastAsiaTheme="minorHAnsi" w:hAnsi="Arial" w:cs="Arial"/>
          <w:b/>
          <w:bCs/>
          <w:color w:val="000000"/>
          <w:lang w:eastAsia="en-US"/>
        </w:rPr>
        <w:t>Antecedentes</w:t>
      </w:r>
    </w:p>
    <w:p w14:paraId="16A40E12" w14:textId="121C2446" w:rsidR="00F1637E" w:rsidRDefault="00F1637E" w:rsidP="00F1637E">
      <w:pPr>
        <w:pStyle w:val="NormalWeb"/>
        <w:ind w:left="720"/>
        <w:jc w:val="both"/>
        <w:rPr>
          <w:rFonts w:ascii="Arial" w:eastAsiaTheme="minorHAnsi" w:hAnsi="Arial" w:cs="Arial"/>
          <w:color w:val="000000"/>
          <w:lang w:eastAsia="en-US"/>
        </w:rPr>
      </w:pPr>
      <w:r>
        <w:rPr>
          <w:rFonts w:ascii="Arial" w:eastAsiaTheme="minorHAnsi" w:hAnsi="Arial" w:cs="Arial"/>
          <w:color w:val="000000"/>
          <w:lang w:eastAsia="en-US"/>
        </w:rPr>
        <w:t xml:space="preserve">Como parte introductoria a </w:t>
      </w:r>
      <w:r w:rsidR="00B94BE3">
        <w:rPr>
          <w:rFonts w:ascii="Arial" w:eastAsiaTheme="minorHAnsi" w:hAnsi="Arial" w:cs="Arial"/>
          <w:color w:val="000000"/>
          <w:lang w:eastAsia="en-US"/>
        </w:rPr>
        <w:t>análisis</w:t>
      </w:r>
      <w:r>
        <w:rPr>
          <w:rFonts w:ascii="Arial" w:eastAsiaTheme="minorHAnsi" w:hAnsi="Arial" w:cs="Arial"/>
          <w:color w:val="000000"/>
          <w:lang w:eastAsia="en-US"/>
        </w:rPr>
        <w:t xml:space="preserve">, a continuación, se presenta </w:t>
      </w:r>
      <w:r w:rsidR="009E56DF">
        <w:rPr>
          <w:rFonts w:ascii="Arial" w:eastAsiaTheme="minorHAnsi" w:hAnsi="Arial" w:cs="Arial"/>
          <w:color w:val="000000"/>
          <w:lang w:eastAsia="en-US"/>
        </w:rPr>
        <w:t>los</w:t>
      </w:r>
      <w:r>
        <w:rPr>
          <w:rFonts w:ascii="Arial" w:eastAsiaTheme="minorHAnsi" w:hAnsi="Arial" w:cs="Arial"/>
          <w:color w:val="000000"/>
          <w:lang w:eastAsia="en-US"/>
        </w:rPr>
        <w:t xml:space="preserve"> estado</w:t>
      </w:r>
      <w:r w:rsidR="009E56DF">
        <w:rPr>
          <w:rFonts w:ascii="Arial" w:eastAsiaTheme="minorHAnsi" w:hAnsi="Arial" w:cs="Arial"/>
          <w:color w:val="000000"/>
          <w:lang w:eastAsia="en-US"/>
        </w:rPr>
        <w:t>s</w:t>
      </w:r>
      <w:r>
        <w:rPr>
          <w:rFonts w:ascii="Arial" w:eastAsiaTheme="minorHAnsi" w:hAnsi="Arial" w:cs="Arial"/>
          <w:color w:val="000000"/>
          <w:lang w:eastAsia="en-US"/>
        </w:rPr>
        <w:t xml:space="preserve"> </w:t>
      </w:r>
      <w:r w:rsidR="009E56DF">
        <w:rPr>
          <w:rFonts w:ascii="Arial" w:eastAsiaTheme="minorHAnsi" w:hAnsi="Arial" w:cs="Arial"/>
          <w:color w:val="000000"/>
          <w:lang w:eastAsia="en-US"/>
        </w:rPr>
        <w:t>financieros</w:t>
      </w:r>
      <w:r>
        <w:rPr>
          <w:rFonts w:ascii="Arial" w:eastAsiaTheme="minorHAnsi" w:hAnsi="Arial" w:cs="Arial"/>
          <w:color w:val="000000"/>
          <w:lang w:eastAsia="en-US"/>
        </w:rPr>
        <w:t xml:space="preserve"> de dos periodos consecutivos, de la empresa Cumbres Andinas</w:t>
      </w:r>
      <w:r w:rsidR="009E56DF">
        <w:rPr>
          <w:rFonts w:ascii="Arial" w:eastAsiaTheme="minorHAnsi" w:hAnsi="Arial" w:cs="Arial"/>
          <w:color w:val="000000"/>
          <w:lang w:eastAsia="en-US"/>
        </w:rPr>
        <w:t xml:space="preserve">, </w:t>
      </w:r>
      <w:r>
        <w:rPr>
          <w:rFonts w:ascii="Arial" w:eastAsiaTheme="minorHAnsi" w:hAnsi="Arial" w:cs="Arial"/>
          <w:color w:val="000000"/>
          <w:lang w:eastAsia="en-US"/>
        </w:rPr>
        <w:t>que brinda servicios financieros, con alto componente tecnológico.</w:t>
      </w:r>
    </w:p>
    <w:p w14:paraId="2EBC8409" w14:textId="77777777" w:rsidR="00F1637E" w:rsidRDefault="00F1637E" w:rsidP="00F1637E">
      <w:pPr>
        <w:pStyle w:val="NormalWeb"/>
        <w:ind w:left="720"/>
        <w:jc w:val="both"/>
        <w:rPr>
          <w:rFonts w:ascii="Arial" w:eastAsiaTheme="minorHAnsi" w:hAnsi="Arial" w:cs="Arial"/>
          <w:color w:val="000000"/>
          <w:lang w:eastAsia="en-US"/>
        </w:rPr>
      </w:pPr>
      <w:r>
        <w:rPr>
          <w:rFonts w:ascii="Arial" w:eastAsiaTheme="minorHAnsi" w:hAnsi="Arial" w:cs="Arial"/>
          <w:color w:val="000000"/>
          <w:lang w:eastAsia="en-US"/>
        </w:rPr>
        <w:t>La empresa antes indicada es líder en el mercado fintech del Ecuador, sus principales servicios son:</w:t>
      </w:r>
    </w:p>
    <w:p w14:paraId="1122094A" w14:textId="77777777" w:rsidR="00F1637E" w:rsidRDefault="00F1637E" w:rsidP="00F1637E">
      <w:pPr>
        <w:pStyle w:val="NormalWeb"/>
        <w:numPr>
          <w:ilvl w:val="0"/>
          <w:numId w:val="1"/>
        </w:numPr>
        <w:jc w:val="both"/>
        <w:rPr>
          <w:rFonts w:ascii="Arial" w:eastAsiaTheme="minorHAnsi" w:hAnsi="Arial" w:cs="Arial"/>
          <w:color w:val="000000"/>
          <w:lang w:eastAsia="en-US"/>
        </w:rPr>
      </w:pPr>
      <w:r>
        <w:rPr>
          <w:rFonts w:ascii="Arial" w:eastAsiaTheme="minorHAnsi" w:hAnsi="Arial" w:cs="Arial"/>
          <w:color w:val="000000"/>
          <w:lang w:eastAsia="en-US"/>
        </w:rPr>
        <w:t>Análisis de crédito para segmentos como: microcrédito, comercial, vivienda, corporativo, asociativo.</w:t>
      </w:r>
    </w:p>
    <w:p w14:paraId="61CB2250" w14:textId="77777777" w:rsidR="00F1637E" w:rsidRDefault="00F1637E" w:rsidP="00F1637E">
      <w:pPr>
        <w:pStyle w:val="NormalWeb"/>
        <w:numPr>
          <w:ilvl w:val="0"/>
          <w:numId w:val="1"/>
        </w:numPr>
        <w:jc w:val="both"/>
        <w:rPr>
          <w:rFonts w:ascii="Arial" w:eastAsiaTheme="minorHAnsi" w:hAnsi="Arial" w:cs="Arial"/>
          <w:color w:val="000000"/>
          <w:lang w:eastAsia="en-US"/>
        </w:rPr>
      </w:pPr>
      <w:r>
        <w:rPr>
          <w:rFonts w:ascii="Arial" w:eastAsiaTheme="minorHAnsi" w:hAnsi="Arial" w:cs="Arial"/>
          <w:color w:val="000000"/>
          <w:lang w:eastAsia="en-US"/>
        </w:rPr>
        <w:t>Análisis de riesgo.</w:t>
      </w:r>
    </w:p>
    <w:p w14:paraId="48F04D60" w14:textId="77777777" w:rsidR="00F1637E" w:rsidRDefault="00F1637E" w:rsidP="00F1637E">
      <w:pPr>
        <w:pStyle w:val="NormalWeb"/>
        <w:numPr>
          <w:ilvl w:val="0"/>
          <w:numId w:val="1"/>
        </w:numPr>
        <w:jc w:val="both"/>
        <w:rPr>
          <w:rFonts w:ascii="Arial" w:eastAsiaTheme="minorHAnsi" w:hAnsi="Arial" w:cs="Arial"/>
          <w:color w:val="000000"/>
          <w:lang w:eastAsia="en-US"/>
        </w:rPr>
      </w:pPr>
      <w:r>
        <w:rPr>
          <w:rFonts w:ascii="Arial" w:eastAsiaTheme="minorHAnsi" w:hAnsi="Arial" w:cs="Arial"/>
          <w:color w:val="000000"/>
          <w:lang w:eastAsia="en-US"/>
        </w:rPr>
        <w:t xml:space="preserve">Modelos </w:t>
      </w:r>
      <w:proofErr w:type="spellStart"/>
      <w:r>
        <w:rPr>
          <w:rFonts w:ascii="Arial" w:eastAsiaTheme="minorHAnsi" w:hAnsi="Arial" w:cs="Arial"/>
          <w:color w:val="000000"/>
          <w:lang w:eastAsia="en-US"/>
        </w:rPr>
        <w:t>credit</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scoring</w:t>
      </w:r>
      <w:proofErr w:type="spellEnd"/>
    </w:p>
    <w:p w14:paraId="45D52E72" w14:textId="77777777" w:rsidR="00F1637E" w:rsidRDefault="00F1637E" w:rsidP="00F1637E">
      <w:pPr>
        <w:pStyle w:val="NormalWeb"/>
        <w:numPr>
          <w:ilvl w:val="0"/>
          <w:numId w:val="1"/>
        </w:numPr>
        <w:jc w:val="both"/>
        <w:rPr>
          <w:rFonts w:ascii="Arial" w:eastAsiaTheme="minorHAnsi" w:hAnsi="Arial" w:cs="Arial"/>
          <w:color w:val="000000"/>
          <w:lang w:eastAsia="en-US"/>
        </w:rPr>
      </w:pPr>
      <w:r>
        <w:rPr>
          <w:rFonts w:ascii="Arial" w:eastAsiaTheme="minorHAnsi" w:hAnsi="Arial" w:cs="Arial"/>
          <w:color w:val="000000"/>
          <w:lang w:eastAsia="en-US"/>
        </w:rPr>
        <w:t>Diseño e implementación de alertas tempranas para manejo de cartera de instituciones financieras, tanto reguladas por la Superintendencia de Bancos, como Superintendencia de Economía Popular y Solidaria.</w:t>
      </w:r>
    </w:p>
    <w:p w14:paraId="1E63ABB3" w14:textId="77777777" w:rsidR="00F1637E" w:rsidRDefault="00F1637E" w:rsidP="00F1637E">
      <w:pPr>
        <w:pStyle w:val="NormalWeb"/>
        <w:numPr>
          <w:ilvl w:val="0"/>
          <w:numId w:val="1"/>
        </w:numPr>
        <w:jc w:val="both"/>
        <w:rPr>
          <w:rFonts w:ascii="Arial" w:eastAsiaTheme="minorHAnsi" w:hAnsi="Arial" w:cs="Arial"/>
          <w:color w:val="000000"/>
          <w:lang w:eastAsia="en-US"/>
        </w:rPr>
      </w:pPr>
      <w:r>
        <w:rPr>
          <w:rFonts w:ascii="Arial" w:eastAsiaTheme="minorHAnsi" w:hAnsi="Arial" w:cs="Arial"/>
          <w:color w:val="000000"/>
          <w:lang w:eastAsia="en-US"/>
        </w:rPr>
        <w:t>Diseño e implementación de software para instituciones financieras, tanto reguladas por la Superintendencia de Bancos, como Superintendencia de Economía Popular y Solidaria.</w:t>
      </w:r>
    </w:p>
    <w:p w14:paraId="70BEB529" w14:textId="77777777" w:rsidR="00F1637E" w:rsidRDefault="00F1637E" w:rsidP="00F1637E">
      <w:pPr>
        <w:pStyle w:val="NormalWeb"/>
        <w:numPr>
          <w:ilvl w:val="0"/>
          <w:numId w:val="1"/>
        </w:numPr>
        <w:jc w:val="both"/>
        <w:rPr>
          <w:rFonts w:ascii="Arial" w:eastAsiaTheme="minorHAnsi" w:hAnsi="Arial" w:cs="Arial"/>
          <w:color w:val="000000"/>
          <w:lang w:eastAsia="en-US"/>
        </w:rPr>
      </w:pPr>
      <w:r>
        <w:rPr>
          <w:rFonts w:ascii="Arial" w:eastAsiaTheme="minorHAnsi" w:hAnsi="Arial" w:cs="Arial"/>
          <w:color w:val="000000"/>
          <w:lang w:eastAsia="en-US"/>
        </w:rPr>
        <w:t xml:space="preserve">Creación e implementación de modelos </w:t>
      </w:r>
      <w:proofErr w:type="spellStart"/>
      <w:r>
        <w:rPr>
          <w:rFonts w:ascii="Arial" w:eastAsiaTheme="minorHAnsi" w:hAnsi="Arial" w:cs="Arial"/>
          <w:color w:val="000000"/>
          <w:lang w:eastAsia="en-US"/>
        </w:rPr>
        <w:t>project</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finance</w:t>
      </w:r>
      <w:proofErr w:type="spellEnd"/>
      <w:r>
        <w:rPr>
          <w:rFonts w:ascii="Arial" w:eastAsiaTheme="minorHAnsi" w:hAnsi="Arial" w:cs="Arial"/>
          <w:color w:val="000000"/>
          <w:lang w:eastAsia="en-US"/>
        </w:rPr>
        <w:t>.</w:t>
      </w:r>
    </w:p>
    <w:p w14:paraId="5F38DC81" w14:textId="4948429A" w:rsidR="00F1637E" w:rsidRDefault="00F1637E" w:rsidP="00F1637E">
      <w:pPr>
        <w:pStyle w:val="NormalWeb"/>
        <w:ind w:left="720"/>
        <w:jc w:val="both"/>
        <w:rPr>
          <w:rFonts w:ascii="Arial" w:eastAsiaTheme="minorHAnsi" w:hAnsi="Arial" w:cs="Arial"/>
          <w:color w:val="000000"/>
          <w:lang w:eastAsia="en-US"/>
        </w:rPr>
      </w:pPr>
      <w:r>
        <w:rPr>
          <w:rFonts w:ascii="Arial" w:eastAsiaTheme="minorHAnsi" w:hAnsi="Arial" w:cs="Arial"/>
          <w:color w:val="000000"/>
          <w:lang w:eastAsia="en-US"/>
        </w:rPr>
        <w:t xml:space="preserve">La empresa fue constituida en el Ecuador en el año 2005 bajo la estructura jurídica de una sociedad anónima, cuyo capital </w:t>
      </w:r>
      <w:r w:rsidR="009E56DF">
        <w:rPr>
          <w:rFonts w:ascii="Arial" w:eastAsiaTheme="minorHAnsi" w:hAnsi="Arial" w:cs="Arial"/>
          <w:color w:val="000000"/>
          <w:lang w:eastAsia="en-US"/>
        </w:rPr>
        <w:t>está</w:t>
      </w:r>
      <w:r>
        <w:rPr>
          <w:rFonts w:ascii="Arial" w:eastAsiaTheme="minorHAnsi" w:hAnsi="Arial" w:cs="Arial"/>
          <w:color w:val="000000"/>
          <w:lang w:eastAsia="en-US"/>
        </w:rPr>
        <w:t xml:space="preserve"> distribuido en acciones comunes.</w:t>
      </w:r>
    </w:p>
    <w:p w14:paraId="23702F62" w14:textId="77777777" w:rsidR="00F1637E" w:rsidRDefault="00F1637E" w:rsidP="00F1637E">
      <w:pPr>
        <w:pStyle w:val="NormalWeb"/>
        <w:ind w:left="720"/>
        <w:jc w:val="both"/>
        <w:rPr>
          <w:rFonts w:ascii="Arial" w:eastAsiaTheme="minorHAnsi" w:hAnsi="Arial" w:cs="Arial"/>
          <w:color w:val="000000"/>
          <w:lang w:eastAsia="en-US"/>
        </w:rPr>
      </w:pPr>
      <w:r>
        <w:rPr>
          <w:rFonts w:ascii="Arial" w:eastAsiaTheme="minorHAnsi" w:hAnsi="Arial" w:cs="Arial"/>
          <w:color w:val="000000"/>
          <w:lang w:eastAsia="en-US"/>
        </w:rPr>
        <w:t>Su principal accionista es una corporación con domicilio en los Estados Unidos de Norte América, empresa líder a nivel mundial de servicios financieros.</w:t>
      </w:r>
    </w:p>
    <w:p w14:paraId="21D6995F" w14:textId="77777777" w:rsidR="00F1637E" w:rsidRDefault="00F1637E" w:rsidP="00F1637E">
      <w:pPr>
        <w:pStyle w:val="NormalWeb"/>
        <w:ind w:left="720"/>
        <w:jc w:val="both"/>
        <w:rPr>
          <w:rFonts w:ascii="Arial" w:eastAsiaTheme="minorHAnsi" w:hAnsi="Arial" w:cs="Arial"/>
          <w:color w:val="000000"/>
          <w:lang w:eastAsia="en-US"/>
        </w:rPr>
      </w:pPr>
      <w:r>
        <w:rPr>
          <w:rFonts w:ascii="Arial" w:eastAsiaTheme="minorHAnsi" w:hAnsi="Arial" w:cs="Arial"/>
          <w:color w:val="000000"/>
          <w:lang w:eastAsia="en-US"/>
        </w:rPr>
        <w:t>Es importante destacar que su plataforma tecnológica es a nivel mundial y sus centros de servicios en Ecuador mantienen una interfaz con sus servidores espejos alojados en el exterior, sin embargo, para cumplir con la normativa vigente en el país mantiene un centro de almacenamiento de datos en sus oficinas.</w:t>
      </w:r>
    </w:p>
    <w:p w14:paraId="40C69206" w14:textId="77777777" w:rsidR="00F1637E" w:rsidRDefault="00F1637E" w:rsidP="00F1637E">
      <w:pPr>
        <w:pStyle w:val="NormalWeb"/>
        <w:ind w:left="720"/>
        <w:jc w:val="both"/>
        <w:rPr>
          <w:rFonts w:ascii="Arial" w:eastAsiaTheme="minorHAnsi" w:hAnsi="Arial" w:cs="Arial"/>
          <w:color w:val="000000"/>
          <w:lang w:eastAsia="en-US"/>
        </w:rPr>
      </w:pPr>
      <w:r>
        <w:rPr>
          <w:rFonts w:ascii="Arial" w:eastAsiaTheme="minorHAnsi" w:hAnsi="Arial" w:cs="Arial"/>
          <w:color w:val="000000"/>
          <w:lang w:eastAsia="en-US"/>
        </w:rPr>
        <w:t>La empresa es propietaria del software, base fundamental para sus operaciones y brindar los servicios antes detallados.</w:t>
      </w:r>
    </w:p>
    <w:p w14:paraId="1CDCD915" w14:textId="77777777" w:rsidR="00F1637E" w:rsidRDefault="00F1637E" w:rsidP="00F1637E">
      <w:pPr>
        <w:pStyle w:val="NormalWeb"/>
        <w:ind w:left="720"/>
        <w:jc w:val="both"/>
        <w:rPr>
          <w:rFonts w:ascii="Arial" w:eastAsiaTheme="minorHAnsi" w:hAnsi="Arial" w:cs="Arial"/>
          <w:color w:val="000000"/>
          <w:lang w:eastAsia="en-US"/>
        </w:rPr>
      </w:pPr>
      <w:r>
        <w:rPr>
          <w:rFonts w:ascii="Arial" w:eastAsiaTheme="minorHAnsi" w:hAnsi="Arial" w:cs="Arial"/>
          <w:color w:val="000000"/>
          <w:lang w:eastAsia="en-US"/>
        </w:rPr>
        <w:t>Adicionalmente, la empresa es calificada y certificada por los organismos de control respectivos del Ecuador, como un buró de crédito.</w:t>
      </w:r>
    </w:p>
    <w:p w14:paraId="0ED293D6" w14:textId="66038B00" w:rsidR="00025F48" w:rsidRDefault="00F1637E" w:rsidP="00F1637E">
      <w:pPr>
        <w:pStyle w:val="NormalWeb"/>
        <w:numPr>
          <w:ilvl w:val="0"/>
          <w:numId w:val="2"/>
        </w:numPr>
        <w:jc w:val="both"/>
        <w:rPr>
          <w:rFonts w:ascii="Arial" w:eastAsiaTheme="minorHAnsi" w:hAnsi="Arial" w:cs="Arial"/>
          <w:b/>
          <w:bCs/>
          <w:color w:val="000000"/>
          <w:lang w:eastAsia="en-US"/>
        </w:rPr>
      </w:pPr>
      <w:r>
        <w:rPr>
          <w:rFonts w:ascii="Arial" w:eastAsiaTheme="minorHAnsi" w:hAnsi="Arial" w:cs="Arial"/>
          <w:b/>
          <w:bCs/>
          <w:color w:val="000000"/>
          <w:lang w:eastAsia="en-US"/>
        </w:rPr>
        <w:t>Requerimientos:</w:t>
      </w:r>
    </w:p>
    <w:p w14:paraId="30F874F0" w14:textId="7D9112D5" w:rsidR="00F1637E" w:rsidRPr="009E56DF" w:rsidRDefault="00F1637E" w:rsidP="00F1637E">
      <w:pPr>
        <w:pStyle w:val="NormalWeb"/>
        <w:ind w:left="708"/>
        <w:jc w:val="both"/>
        <w:rPr>
          <w:rFonts w:ascii="Arial" w:eastAsiaTheme="minorHAnsi" w:hAnsi="Arial" w:cs="Arial"/>
          <w:color w:val="000000"/>
          <w:lang w:eastAsia="en-US"/>
        </w:rPr>
      </w:pPr>
      <w:r w:rsidRPr="009E56DF">
        <w:rPr>
          <w:rFonts w:ascii="Arial" w:eastAsiaTheme="minorHAnsi" w:hAnsi="Arial" w:cs="Arial"/>
          <w:color w:val="000000"/>
          <w:lang w:eastAsia="en-US"/>
        </w:rPr>
        <w:lastRenderedPageBreak/>
        <w:t>En función a la información financiera presentada (anexo 1) de la compañía detalla anteriormente se solicita realizar un análisis financiero integral que involucra:</w:t>
      </w:r>
    </w:p>
    <w:p w14:paraId="418C817F" w14:textId="216A54FD"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Análisis horizontal</w:t>
      </w:r>
    </w:p>
    <w:p w14:paraId="14627D37" w14:textId="16BB1F42"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Análisis vertical</w:t>
      </w:r>
    </w:p>
    <w:p w14:paraId="23AAED69" w14:textId="731E10F9"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Determinación de índices de liquidez</w:t>
      </w:r>
    </w:p>
    <w:p w14:paraId="637E1259" w14:textId="3D196980"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Determinación de índices de actividad</w:t>
      </w:r>
    </w:p>
    <w:p w14:paraId="12F12A0C" w14:textId="7EA67BB1"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Determinación de índices de apalancamiento</w:t>
      </w:r>
    </w:p>
    <w:p w14:paraId="53E43308" w14:textId="67DA7A5A"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Determinación de índices de rentabilidad</w:t>
      </w:r>
    </w:p>
    <w:p w14:paraId="7369CE5E" w14:textId="4D249B2A"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Análisis DuPont al ROA y ROE</w:t>
      </w:r>
    </w:p>
    <w:p w14:paraId="10618B7A" w14:textId="73B6674B"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Flujo de efectivo</w:t>
      </w:r>
    </w:p>
    <w:p w14:paraId="37A5AB85" w14:textId="163570D3"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Determinación de ciclo de caja</w:t>
      </w:r>
    </w:p>
    <w:p w14:paraId="1B360787" w14:textId="2AA576B7" w:rsidR="00F1637E" w:rsidRPr="009E56DF" w:rsidRDefault="00F1637E" w:rsidP="00F1637E">
      <w:pPr>
        <w:pStyle w:val="NormalWeb"/>
        <w:numPr>
          <w:ilvl w:val="1"/>
          <w:numId w:val="2"/>
        </w:numPr>
        <w:jc w:val="both"/>
        <w:rPr>
          <w:rFonts w:ascii="Arial" w:eastAsiaTheme="minorHAnsi" w:hAnsi="Arial" w:cs="Arial"/>
          <w:color w:val="000000"/>
          <w:lang w:eastAsia="en-US"/>
        </w:rPr>
      </w:pPr>
      <w:r w:rsidRPr="009E56DF">
        <w:rPr>
          <w:rFonts w:ascii="Arial" w:eastAsiaTheme="minorHAnsi" w:hAnsi="Arial" w:cs="Arial"/>
          <w:color w:val="000000"/>
          <w:lang w:eastAsia="en-US"/>
        </w:rPr>
        <w:t>Análisis de capital de trabajo</w:t>
      </w:r>
    </w:p>
    <w:sectPr w:rsidR="00F1637E" w:rsidRPr="009E56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705D"/>
    <w:multiLevelType w:val="multilevel"/>
    <w:tmpl w:val="0E96D6A6"/>
    <w:lvl w:ilvl="0">
      <w:start w:val="1"/>
      <w:numFmt w:val="upperRoman"/>
      <w:lvlText w:val="%1."/>
      <w:lvlJc w:val="left"/>
      <w:pPr>
        <w:ind w:left="1440" w:hanging="720"/>
      </w:pPr>
      <w:rPr>
        <w:rFonts w:hint="default"/>
      </w:rPr>
    </w:lvl>
    <w:lvl w:ilvl="1">
      <w:start w:val="1"/>
      <w:numFmt w:val="decimal"/>
      <w:isLgl/>
      <w:lvlText w:val="%1.%2"/>
      <w:lvlJc w:val="left"/>
      <w:pPr>
        <w:ind w:left="1425" w:hanging="7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19A7F88"/>
    <w:multiLevelType w:val="hybridMultilevel"/>
    <w:tmpl w:val="9B58133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7E"/>
    <w:rsid w:val="00025F48"/>
    <w:rsid w:val="004F32D8"/>
    <w:rsid w:val="0084519B"/>
    <w:rsid w:val="00980067"/>
    <w:rsid w:val="009E56DF"/>
    <w:rsid w:val="00B94BE3"/>
    <w:rsid w:val="00B94ED4"/>
    <w:rsid w:val="00F163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8A2E"/>
  <w15:chartTrackingRefBased/>
  <w15:docId w15:val="{49CDCF1C-21B3-4D9C-84CE-537FABC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1637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Prrafodelista">
    <w:name w:val="List Paragraph"/>
    <w:basedOn w:val="Normal"/>
    <w:uiPriority w:val="34"/>
    <w:qFormat/>
    <w:rsid w:val="00F16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1969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Cerda</dc:creator>
  <cp:keywords/>
  <dc:description/>
  <cp:lastModifiedBy>Nelson Cerda</cp:lastModifiedBy>
  <cp:revision>2</cp:revision>
  <dcterms:created xsi:type="dcterms:W3CDTF">2025-11-20T22:29:00Z</dcterms:created>
  <dcterms:modified xsi:type="dcterms:W3CDTF">2025-11-20T22:29:00Z</dcterms:modified>
</cp:coreProperties>
</file>