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6A1" w:rsidRDefault="004136A1">
      <w:r>
        <w:br w:type="page"/>
      </w:r>
    </w:p>
    <w:p w:rsidR="00155E43" w:rsidRDefault="00155E43" w:rsidP="00155E43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05"/>
        <w:gridCol w:w="4903"/>
        <w:gridCol w:w="1843"/>
      </w:tblGrid>
      <w:tr w:rsidR="00155E43" w:rsidTr="00781137">
        <w:tc>
          <w:tcPr>
            <w:tcW w:w="2605" w:type="dxa"/>
          </w:tcPr>
          <w:p w:rsidR="00155E43" w:rsidRDefault="00155E43" w:rsidP="00BA3422">
            <w:r>
              <w:t>Nombre:</w:t>
            </w:r>
          </w:p>
        </w:tc>
        <w:tc>
          <w:tcPr>
            <w:tcW w:w="4903" w:type="dxa"/>
          </w:tcPr>
          <w:p w:rsidR="00155E43" w:rsidRDefault="00155E43" w:rsidP="00BA3422">
            <w:r>
              <w:t>Definición</w:t>
            </w:r>
          </w:p>
        </w:tc>
        <w:tc>
          <w:tcPr>
            <w:tcW w:w="1843" w:type="dxa"/>
          </w:tcPr>
          <w:p w:rsidR="00155E43" w:rsidRDefault="00155E43" w:rsidP="00BA3422">
            <w:r>
              <w:t>Categoría</w:t>
            </w:r>
          </w:p>
        </w:tc>
      </w:tr>
      <w:tr w:rsidR="009345C0" w:rsidTr="00781137">
        <w:tc>
          <w:tcPr>
            <w:tcW w:w="2605" w:type="dxa"/>
          </w:tcPr>
          <w:p w:rsidR="009345C0" w:rsidRDefault="009345C0" w:rsidP="00BA3422">
            <w:r>
              <w:t>variable</w:t>
            </w:r>
          </w:p>
        </w:tc>
        <w:tc>
          <w:tcPr>
            <w:tcW w:w="4903" w:type="dxa"/>
          </w:tcPr>
          <w:p w:rsidR="009345C0" w:rsidRDefault="009345C0" w:rsidP="00992492">
            <w:pPr>
              <w:jc w:val="both"/>
            </w:pPr>
            <w:r w:rsidRPr="009345C0">
              <w:t>Cualquier cantidad que pueda tener valores diferentes entre individuos u otras unidades de estudio.</w:t>
            </w:r>
          </w:p>
        </w:tc>
        <w:tc>
          <w:tcPr>
            <w:tcW w:w="1843" w:type="dxa"/>
          </w:tcPr>
          <w:p w:rsidR="009345C0" w:rsidRDefault="009345C0" w:rsidP="00BA3422">
            <w:r>
              <w:t>Módulo 3</w:t>
            </w:r>
          </w:p>
        </w:tc>
      </w:tr>
      <w:tr w:rsidR="00155E43" w:rsidTr="00781137">
        <w:tc>
          <w:tcPr>
            <w:tcW w:w="2605" w:type="dxa"/>
          </w:tcPr>
          <w:p w:rsidR="00155E43" w:rsidRDefault="00027DC9" w:rsidP="00BA3422">
            <w:r>
              <w:t>Variable independiente</w:t>
            </w:r>
            <w:r w:rsidR="003A6482">
              <w:t xml:space="preserve"> </w:t>
            </w:r>
            <w:r w:rsidR="00155E43">
              <w:t xml:space="preserve"> </w:t>
            </w:r>
          </w:p>
        </w:tc>
        <w:tc>
          <w:tcPr>
            <w:tcW w:w="4903" w:type="dxa"/>
          </w:tcPr>
          <w:p w:rsidR="00155E43" w:rsidRDefault="009345C0" w:rsidP="009345C0">
            <w:pPr>
              <w:jc w:val="both"/>
            </w:pPr>
            <w:r>
              <w:t>V</w:t>
            </w:r>
            <w:r>
              <w:t>ariable que se supone que influye en un evento o estado (</w:t>
            </w:r>
            <w:r>
              <w:t xml:space="preserve">variable </w:t>
            </w:r>
            <w:r>
              <w:t>dependiente); es decir, la variable independiente no está influenciada por el evento pero puede causar (o contribuir a que ocurra) el evento, o contribuir a cambiar el estado (fisiológico, ambiental, socioeconómico).</w:t>
            </w:r>
          </w:p>
        </w:tc>
        <w:tc>
          <w:tcPr>
            <w:tcW w:w="1843" w:type="dxa"/>
          </w:tcPr>
          <w:p w:rsidR="00155E43" w:rsidRDefault="00155E43" w:rsidP="00BA3422">
            <w:r>
              <w:t xml:space="preserve">Módulo </w:t>
            </w:r>
            <w:r w:rsidR="00992492">
              <w:t>3</w:t>
            </w:r>
          </w:p>
        </w:tc>
      </w:tr>
      <w:tr w:rsidR="00155E43" w:rsidTr="00781137">
        <w:tc>
          <w:tcPr>
            <w:tcW w:w="2605" w:type="dxa"/>
          </w:tcPr>
          <w:p w:rsidR="00155E43" w:rsidRDefault="00027DC9" w:rsidP="00BA3422">
            <w:r>
              <w:t>Variable dependiente</w:t>
            </w:r>
          </w:p>
        </w:tc>
        <w:tc>
          <w:tcPr>
            <w:tcW w:w="4903" w:type="dxa"/>
          </w:tcPr>
          <w:p w:rsidR="00992492" w:rsidRDefault="009345C0" w:rsidP="00992492">
            <w:r>
              <w:t>V</w:t>
            </w:r>
            <w:r w:rsidRPr="009345C0">
              <w:t>ariable cuyo valor depende del efecto de otras variables (variables independientes) en la relación en estudio. Una manifestación o resultado cuya variación buscamos explicar o explicar por la influencia de variables independientes.</w:t>
            </w:r>
          </w:p>
        </w:tc>
        <w:tc>
          <w:tcPr>
            <w:tcW w:w="1843" w:type="dxa"/>
          </w:tcPr>
          <w:p w:rsidR="00155E43" w:rsidRDefault="00781137" w:rsidP="00BA3422">
            <w:r>
              <w:t xml:space="preserve">Módulo </w:t>
            </w:r>
            <w:r w:rsidR="00992492">
              <w:t>3</w:t>
            </w:r>
          </w:p>
        </w:tc>
      </w:tr>
      <w:tr w:rsidR="00B77D23" w:rsidTr="0036653A">
        <w:tc>
          <w:tcPr>
            <w:tcW w:w="2605" w:type="dxa"/>
          </w:tcPr>
          <w:p w:rsidR="00B77D23" w:rsidRDefault="00027DC9" w:rsidP="0036653A">
            <w:r>
              <w:t>Encuesta</w:t>
            </w:r>
          </w:p>
        </w:tc>
        <w:tc>
          <w:tcPr>
            <w:tcW w:w="4903" w:type="dxa"/>
          </w:tcPr>
          <w:p w:rsidR="00B77D23" w:rsidRDefault="009345C0" w:rsidP="005423AB">
            <w:r>
              <w:t>I</w:t>
            </w:r>
            <w:r w:rsidRPr="009345C0">
              <w:t xml:space="preserve">nvestigación observacional, generalmente descriptiva, en la que la información se recopila sistemáticamente. </w:t>
            </w:r>
          </w:p>
        </w:tc>
        <w:tc>
          <w:tcPr>
            <w:tcW w:w="1843" w:type="dxa"/>
          </w:tcPr>
          <w:p w:rsidR="00B77D23" w:rsidRDefault="00B77D23" w:rsidP="0036653A">
            <w:r w:rsidRPr="00B53EDB">
              <w:t xml:space="preserve">Módulo </w:t>
            </w:r>
            <w:r w:rsidR="00992492">
              <w:t>3</w:t>
            </w:r>
          </w:p>
        </w:tc>
      </w:tr>
      <w:tr w:rsidR="00B77D23" w:rsidTr="0036653A">
        <w:tc>
          <w:tcPr>
            <w:tcW w:w="2605" w:type="dxa"/>
          </w:tcPr>
          <w:p w:rsidR="00B77D23" w:rsidRDefault="00027DC9" w:rsidP="0036653A">
            <w:r>
              <w:t>Cuestionario</w:t>
            </w:r>
          </w:p>
        </w:tc>
        <w:tc>
          <w:tcPr>
            <w:tcW w:w="4903" w:type="dxa"/>
          </w:tcPr>
          <w:p w:rsidR="00B77D23" w:rsidRDefault="009A67E1" w:rsidP="009A67E1">
            <w:pPr>
              <w:jc w:val="both"/>
            </w:pPr>
            <w:r>
              <w:t>C</w:t>
            </w:r>
            <w:r w:rsidRPr="009A67E1">
              <w:t>onjunto predeterminado de preguntas utilizadas para recopilar datos: datos clínicos, estatus social, grupo ocupacional, etc. Este término a menudo se aplica a un instrumento de encuesta autocompletado, en contraste con un</w:t>
            </w:r>
            <w:r>
              <w:t>a</w:t>
            </w:r>
            <w:r w:rsidRPr="009A67E1">
              <w:t xml:space="preserve"> entrevista.</w:t>
            </w:r>
          </w:p>
        </w:tc>
        <w:tc>
          <w:tcPr>
            <w:tcW w:w="1843" w:type="dxa"/>
          </w:tcPr>
          <w:p w:rsidR="00B77D23" w:rsidRDefault="00B77D23" w:rsidP="0036653A">
            <w:r w:rsidRPr="00B53EDB">
              <w:t xml:space="preserve">Módulo </w:t>
            </w:r>
            <w:r w:rsidR="00992492">
              <w:t>3</w:t>
            </w:r>
          </w:p>
        </w:tc>
      </w:tr>
    </w:tbl>
    <w:p w:rsidR="00B77D23" w:rsidRDefault="00B77D23" w:rsidP="00B77D23"/>
    <w:p w:rsidR="00155E43" w:rsidRDefault="00155E43" w:rsidP="00155E43">
      <w:pPr>
        <w:rPr>
          <w:rFonts w:ascii="Times New Roman" w:hAnsi="Times New Roman" w:cs="Times New Roman"/>
          <w:i/>
          <w:iCs/>
        </w:rPr>
      </w:pPr>
    </w:p>
    <w:p w:rsidR="00E3400C" w:rsidRPr="00AA27A0" w:rsidRDefault="00103DBF" w:rsidP="00F50943">
      <w:pPr>
        <w:rPr>
          <w:lang w:val="en-US"/>
        </w:rPr>
      </w:pPr>
    </w:p>
    <w:sectPr w:rsidR="00E3400C" w:rsidRPr="00AA27A0" w:rsidSect="00F50943">
      <w:headerReference w:type="first" r:id="rId8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DBF" w:rsidRDefault="00103DBF" w:rsidP="00F50943">
      <w:r>
        <w:separator/>
      </w:r>
    </w:p>
  </w:endnote>
  <w:endnote w:type="continuationSeparator" w:id="0">
    <w:p w:rsidR="00103DBF" w:rsidRDefault="00103DBF" w:rsidP="00F5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MS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DBF" w:rsidRDefault="00103DBF" w:rsidP="00F50943">
      <w:r>
        <w:separator/>
      </w:r>
    </w:p>
  </w:footnote>
  <w:footnote w:type="continuationSeparator" w:id="0">
    <w:p w:rsidR="00103DBF" w:rsidRDefault="00103DBF" w:rsidP="00F5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0943" w:rsidRDefault="00F5094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-1067072</wp:posOffset>
          </wp:positionH>
          <wp:positionV relativeFrom="paragraph">
            <wp:posOffset>-435255</wp:posOffset>
          </wp:positionV>
          <wp:extent cx="7569051" cy="10707684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UCE-Virtual-A4-contrapor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051" cy="1070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01F"/>
    <w:multiLevelType w:val="hybridMultilevel"/>
    <w:tmpl w:val="0C1E3C08"/>
    <w:lvl w:ilvl="0" w:tplc="7FF67B1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9C5D7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A0D8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CC289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1C6C4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1E7B0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C2B3F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1AD32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48FB5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A02F9A"/>
    <w:multiLevelType w:val="hybridMultilevel"/>
    <w:tmpl w:val="CC42B21E"/>
    <w:lvl w:ilvl="0" w:tplc="D6285B8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EAC8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4ABF7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43F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F01F6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A0F29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58E5F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D8B87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98517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E641A54"/>
    <w:multiLevelType w:val="hybridMultilevel"/>
    <w:tmpl w:val="93C208C8"/>
    <w:lvl w:ilvl="0" w:tplc="53AC7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8C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E6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AE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CA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D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8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E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D936EE"/>
    <w:multiLevelType w:val="hybridMultilevel"/>
    <w:tmpl w:val="FDE2922C"/>
    <w:lvl w:ilvl="0" w:tplc="47226CC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D4BDF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94F3E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38FF2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F4EF3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A15C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04696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C841F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FC92E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E701CF2"/>
    <w:multiLevelType w:val="hybridMultilevel"/>
    <w:tmpl w:val="36526F54"/>
    <w:lvl w:ilvl="0" w:tplc="53BA6FB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B4C2D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48D44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2403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6830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5ED85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1CF39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C8602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F42B1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73"/>
    <w:rsid w:val="000176ED"/>
    <w:rsid w:val="00027775"/>
    <w:rsid w:val="00027DC9"/>
    <w:rsid w:val="000440A9"/>
    <w:rsid w:val="00093902"/>
    <w:rsid w:val="000A40F8"/>
    <w:rsid w:val="00103DBF"/>
    <w:rsid w:val="0014191C"/>
    <w:rsid w:val="00155E43"/>
    <w:rsid w:val="001E7BAB"/>
    <w:rsid w:val="0020353D"/>
    <w:rsid w:val="0022796C"/>
    <w:rsid w:val="002B1B2B"/>
    <w:rsid w:val="002C3B31"/>
    <w:rsid w:val="002F5592"/>
    <w:rsid w:val="00352F17"/>
    <w:rsid w:val="003941F7"/>
    <w:rsid w:val="003A6482"/>
    <w:rsid w:val="003C03ED"/>
    <w:rsid w:val="003F13B3"/>
    <w:rsid w:val="00400C73"/>
    <w:rsid w:val="004136A1"/>
    <w:rsid w:val="00441499"/>
    <w:rsid w:val="004B2605"/>
    <w:rsid w:val="00520B0B"/>
    <w:rsid w:val="005423AB"/>
    <w:rsid w:val="0058537C"/>
    <w:rsid w:val="005C1455"/>
    <w:rsid w:val="006406F6"/>
    <w:rsid w:val="00781137"/>
    <w:rsid w:val="00791ADE"/>
    <w:rsid w:val="007C25DC"/>
    <w:rsid w:val="00814D97"/>
    <w:rsid w:val="00853AB3"/>
    <w:rsid w:val="00876365"/>
    <w:rsid w:val="00902A48"/>
    <w:rsid w:val="009345C0"/>
    <w:rsid w:val="00945F86"/>
    <w:rsid w:val="00992492"/>
    <w:rsid w:val="009A67E1"/>
    <w:rsid w:val="00A54B95"/>
    <w:rsid w:val="00A7675B"/>
    <w:rsid w:val="00AA27A0"/>
    <w:rsid w:val="00AD587E"/>
    <w:rsid w:val="00B77D23"/>
    <w:rsid w:val="00B965FD"/>
    <w:rsid w:val="00BB7055"/>
    <w:rsid w:val="00BC423E"/>
    <w:rsid w:val="00BD5139"/>
    <w:rsid w:val="00BE43B2"/>
    <w:rsid w:val="00C148A5"/>
    <w:rsid w:val="00C333C6"/>
    <w:rsid w:val="00C664E8"/>
    <w:rsid w:val="00C71205"/>
    <w:rsid w:val="00C8663A"/>
    <w:rsid w:val="00CC5C67"/>
    <w:rsid w:val="00CF28CC"/>
    <w:rsid w:val="00D46A95"/>
    <w:rsid w:val="00D500FA"/>
    <w:rsid w:val="00E57C08"/>
    <w:rsid w:val="00E81706"/>
    <w:rsid w:val="00F133EB"/>
    <w:rsid w:val="00F25FB6"/>
    <w:rsid w:val="00F44EA1"/>
    <w:rsid w:val="00F50943"/>
    <w:rsid w:val="00F60FC2"/>
    <w:rsid w:val="00F97300"/>
    <w:rsid w:val="00FB333A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F144C"/>
  <w15:chartTrackingRefBased/>
  <w15:docId w15:val="{EA76DC5D-A8D9-6C45-A198-DA9B5A8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1F7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3D115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1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D1152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9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0943"/>
  </w:style>
  <w:style w:type="paragraph" w:styleId="Piedepgina">
    <w:name w:val="footer"/>
    <w:basedOn w:val="Normal"/>
    <w:link w:val="PiedepginaCar"/>
    <w:uiPriority w:val="99"/>
    <w:unhideWhenUsed/>
    <w:rsid w:val="00F509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943"/>
  </w:style>
  <w:style w:type="character" w:customStyle="1" w:styleId="Ttulo1Car">
    <w:name w:val="Título 1 Car"/>
    <w:basedOn w:val="Fuentedeprrafopredeter"/>
    <w:link w:val="Ttulo1"/>
    <w:uiPriority w:val="9"/>
    <w:rsid w:val="003941F7"/>
    <w:rPr>
      <w:rFonts w:eastAsiaTheme="majorEastAsia" w:cstheme="majorBidi"/>
      <w:b/>
      <w:color w:val="3D115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1F7"/>
    <w:rPr>
      <w:rFonts w:asciiTheme="majorHAnsi" w:eastAsiaTheme="majorEastAsia" w:hAnsiTheme="majorHAnsi" w:cstheme="majorBidi"/>
      <w:color w:val="3D1152"/>
      <w:sz w:val="26"/>
      <w:szCs w:val="26"/>
    </w:rPr>
  </w:style>
  <w:style w:type="character" w:styleId="nfasisintenso">
    <w:name w:val="Intense Emphasis"/>
    <w:basedOn w:val="Fuentedeprrafopredeter"/>
    <w:uiPriority w:val="21"/>
    <w:qFormat/>
    <w:rsid w:val="003941F7"/>
    <w:rPr>
      <w:i/>
      <w:iCs/>
      <w:color w:val="3D11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1F7"/>
    <w:pPr>
      <w:pBdr>
        <w:top w:val="single" w:sz="4" w:space="10" w:color="AD84C6" w:themeColor="accent1"/>
        <w:bottom w:val="single" w:sz="4" w:space="10" w:color="AD84C6" w:themeColor="accent1"/>
      </w:pBdr>
      <w:spacing w:before="360" w:after="360"/>
      <w:ind w:left="864" w:right="864"/>
      <w:jc w:val="center"/>
    </w:pPr>
    <w:rPr>
      <w:i/>
      <w:iCs/>
      <w:color w:val="3D115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1F7"/>
    <w:rPr>
      <w:i/>
      <w:iCs/>
      <w:color w:val="3D1152"/>
    </w:rPr>
  </w:style>
  <w:style w:type="character" w:styleId="Referenciaintensa">
    <w:name w:val="Intense Reference"/>
    <w:basedOn w:val="Fuentedeprrafopredeter"/>
    <w:uiPriority w:val="32"/>
    <w:qFormat/>
    <w:rsid w:val="003941F7"/>
    <w:rPr>
      <w:b/>
      <w:bCs/>
      <w:smallCaps/>
      <w:color w:val="3D1152"/>
      <w:spacing w:val="5"/>
    </w:rPr>
  </w:style>
  <w:style w:type="table" w:styleId="Tablaconcuadrcula">
    <w:name w:val="Table Grid"/>
    <w:basedOn w:val="Tablanormal"/>
    <w:uiPriority w:val="39"/>
    <w:rsid w:val="00D5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33C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3C6"/>
    <w:rPr>
      <w:rFonts w:ascii="Times New Roman" w:hAnsi="Times New Roman" w:cs="Times New Roman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C333C6"/>
    <w:pPr>
      <w:spacing w:line="480" w:lineRule="auto"/>
      <w:ind w:left="720" w:hanging="720"/>
    </w:pPr>
  </w:style>
  <w:style w:type="character" w:styleId="Hipervnculo">
    <w:name w:val="Hyperlink"/>
    <w:basedOn w:val="Fuentedeprrafopredeter"/>
    <w:uiPriority w:val="99"/>
    <w:unhideWhenUsed/>
    <w:rsid w:val="00C333C6"/>
    <w:rPr>
      <w:color w:val="69A020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33C6"/>
    <w:rPr>
      <w:color w:val="605E5C"/>
      <w:shd w:val="clear" w:color="auto" w:fill="E1DFDD"/>
    </w:rPr>
  </w:style>
  <w:style w:type="character" w:customStyle="1" w:styleId="e24kjd">
    <w:name w:val="e24kjd"/>
    <w:basedOn w:val="Fuentedeprrafopredeter"/>
    <w:rsid w:val="003C03ED"/>
  </w:style>
  <w:style w:type="paragraph" w:styleId="Prrafodelista">
    <w:name w:val="List Paragraph"/>
    <w:basedOn w:val="Normal"/>
    <w:uiPriority w:val="34"/>
    <w:qFormat/>
    <w:rsid w:val="00B965FD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155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7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491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0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71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674537-797F-2A4A-9A4B-8320B3E9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2020-05-04T10:07:00Z</dcterms:created>
  <dcterms:modified xsi:type="dcterms:W3CDTF">2020-05-04T16:11:00Z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id="YhIGMqus"/&gt;&lt;style id="http://www.zotero.org/styles/apa" locale="es-ES"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value=""/&gt;&lt;/prefs&gt;&lt;/data&gt;</vt:lpwstr>
  </property>
</Properties>
</file>