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7F476" w14:textId="77777777" w:rsidR="00593118" w:rsidRPr="007A791E" w:rsidRDefault="00593118" w:rsidP="00593118">
      <w:pPr>
        <w:jc w:val="center"/>
        <w:rPr>
          <w:rFonts w:ascii="Times New Roman" w:hAnsi="Times New Roman" w:cs="Times New Roman"/>
          <w:b/>
          <w:bCs/>
          <w:sz w:val="28"/>
          <w:szCs w:val="28"/>
        </w:rPr>
      </w:pPr>
      <w:r w:rsidRPr="007A791E">
        <w:rPr>
          <w:rFonts w:ascii="Times New Roman" w:hAnsi="Times New Roman" w:cs="Times New Roman"/>
          <w:b/>
          <w:bCs/>
          <w:sz w:val="28"/>
          <w:szCs w:val="28"/>
        </w:rPr>
        <w:t>PONTIFICIA UNIVERISDAD CATOLICA DEL ECUADOR</w:t>
      </w:r>
    </w:p>
    <w:p w14:paraId="797A1567" w14:textId="77777777" w:rsidR="00593118" w:rsidRPr="007A791E" w:rsidRDefault="00593118" w:rsidP="00593118">
      <w:pPr>
        <w:jc w:val="center"/>
        <w:rPr>
          <w:rFonts w:ascii="Times New Roman" w:hAnsi="Times New Roman" w:cs="Times New Roman"/>
          <w:b/>
          <w:bCs/>
          <w:sz w:val="28"/>
          <w:szCs w:val="28"/>
        </w:rPr>
      </w:pPr>
      <w:r w:rsidRPr="007A791E">
        <w:rPr>
          <w:rFonts w:ascii="Times New Roman" w:hAnsi="Times New Roman" w:cs="Times New Roman"/>
          <w:b/>
          <w:bCs/>
          <w:sz w:val="28"/>
          <w:szCs w:val="28"/>
        </w:rPr>
        <w:t>MAESTRIA EN GESTION DEL TALENTO HUMANO</w:t>
      </w:r>
    </w:p>
    <w:p w14:paraId="5B940125" w14:textId="77777777" w:rsidR="00593118" w:rsidRPr="007A791E" w:rsidRDefault="00593118" w:rsidP="00593118">
      <w:pPr>
        <w:jc w:val="center"/>
        <w:rPr>
          <w:rFonts w:ascii="Times New Roman" w:hAnsi="Times New Roman" w:cs="Times New Roman"/>
          <w:b/>
          <w:bCs/>
          <w:sz w:val="28"/>
          <w:szCs w:val="28"/>
        </w:rPr>
      </w:pPr>
      <w:r w:rsidRPr="007A791E">
        <w:rPr>
          <w:rFonts w:ascii="Times New Roman" w:hAnsi="Times New Roman" w:cs="Times New Roman"/>
          <w:b/>
          <w:bCs/>
          <w:sz w:val="28"/>
          <w:szCs w:val="28"/>
        </w:rPr>
        <w:t>BUSINESS INTELLIGENCE – TALENTO HUMANO</w:t>
      </w:r>
    </w:p>
    <w:p w14:paraId="2749C1B1" w14:textId="58C7A0DE" w:rsidR="00593118" w:rsidRPr="007A791E" w:rsidRDefault="00593118" w:rsidP="00593118">
      <w:pPr>
        <w:jc w:val="center"/>
        <w:rPr>
          <w:rFonts w:ascii="Times New Roman" w:hAnsi="Times New Roman" w:cs="Times New Roman"/>
          <w:b/>
          <w:bCs/>
          <w:sz w:val="28"/>
          <w:szCs w:val="28"/>
        </w:rPr>
      </w:pPr>
      <w:r w:rsidRPr="007A791E">
        <w:rPr>
          <w:rFonts w:ascii="Times New Roman" w:hAnsi="Times New Roman" w:cs="Times New Roman"/>
          <w:b/>
          <w:bCs/>
          <w:sz w:val="28"/>
          <w:szCs w:val="28"/>
        </w:rPr>
        <w:t>Taller – Modulo 6.</w:t>
      </w:r>
    </w:p>
    <w:p w14:paraId="037B6CB4" w14:textId="056D625C" w:rsidR="004E5E39" w:rsidRPr="007A791E" w:rsidRDefault="00593118">
      <w:pPr>
        <w:rPr>
          <w:rFonts w:ascii="Times New Roman" w:hAnsi="Times New Roman" w:cs="Times New Roman"/>
          <w:b/>
          <w:bCs/>
          <w:sz w:val="24"/>
          <w:szCs w:val="24"/>
        </w:rPr>
      </w:pPr>
      <w:r w:rsidRPr="007A791E">
        <w:rPr>
          <w:rFonts w:ascii="Times New Roman" w:hAnsi="Times New Roman" w:cs="Times New Roman"/>
          <w:b/>
          <w:bCs/>
          <w:sz w:val="24"/>
          <w:szCs w:val="24"/>
        </w:rPr>
        <w:t>Integrantes:</w:t>
      </w:r>
    </w:p>
    <w:p w14:paraId="238B48F9" w14:textId="76C594C5" w:rsidR="00593118" w:rsidRPr="001735F9" w:rsidRDefault="00593118" w:rsidP="001735F9">
      <w:pPr>
        <w:pStyle w:val="Prrafodelista"/>
        <w:numPr>
          <w:ilvl w:val="0"/>
          <w:numId w:val="19"/>
        </w:numPr>
        <w:rPr>
          <w:rFonts w:ascii="Times New Roman" w:hAnsi="Times New Roman" w:cs="Times New Roman"/>
          <w:sz w:val="24"/>
          <w:szCs w:val="24"/>
        </w:rPr>
      </w:pPr>
      <w:r w:rsidRPr="001735F9">
        <w:rPr>
          <w:rFonts w:ascii="Times New Roman" w:hAnsi="Times New Roman" w:cs="Times New Roman"/>
          <w:sz w:val="24"/>
          <w:szCs w:val="24"/>
        </w:rPr>
        <w:t xml:space="preserve">Stephanie </w:t>
      </w:r>
      <w:r w:rsidR="007A791E" w:rsidRPr="001735F9">
        <w:rPr>
          <w:rFonts w:ascii="Times New Roman" w:hAnsi="Times New Roman" w:cs="Times New Roman"/>
          <w:sz w:val="24"/>
          <w:szCs w:val="24"/>
        </w:rPr>
        <w:t>Paéz</w:t>
      </w:r>
      <w:r w:rsidRPr="001735F9">
        <w:rPr>
          <w:rFonts w:ascii="Times New Roman" w:hAnsi="Times New Roman" w:cs="Times New Roman"/>
          <w:sz w:val="24"/>
          <w:szCs w:val="24"/>
        </w:rPr>
        <w:t>.</w:t>
      </w:r>
    </w:p>
    <w:p w14:paraId="2BA07E95" w14:textId="46ECD5BD" w:rsidR="00593118" w:rsidRPr="001735F9" w:rsidRDefault="00593118" w:rsidP="001735F9">
      <w:pPr>
        <w:pStyle w:val="Prrafodelista"/>
        <w:numPr>
          <w:ilvl w:val="0"/>
          <w:numId w:val="19"/>
        </w:numPr>
        <w:rPr>
          <w:rFonts w:ascii="Times New Roman" w:hAnsi="Times New Roman" w:cs="Times New Roman"/>
          <w:sz w:val="24"/>
          <w:szCs w:val="24"/>
        </w:rPr>
      </w:pPr>
      <w:r w:rsidRPr="001735F9">
        <w:rPr>
          <w:rFonts w:ascii="Times New Roman" w:hAnsi="Times New Roman" w:cs="Times New Roman"/>
          <w:sz w:val="24"/>
          <w:szCs w:val="24"/>
        </w:rPr>
        <w:t>Chrystian Lovato.</w:t>
      </w:r>
    </w:p>
    <w:p w14:paraId="0BA2E439" w14:textId="698D6BBA" w:rsidR="00593118" w:rsidRPr="001735F9" w:rsidRDefault="00593118" w:rsidP="001735F9">
      <w:pPr>
        <w:pStyle w:val="Prrafodelista"/>
        <w:numPr>
          <w:ilvl w:val="0"/>
          <w:numId w:val="19"/>
        </w:numPr>
        <w:rPr>
          <w:rFonts w:ascii="Times New Roman" w:hAnsi="Times New Roman" w:cs="Times New Roman"/>
          <w:sz w:val="24"/>
          <w:szCs w:val="24"/>
        </w:rPr>
      </w:pPr>
      <w:r w:rsidRPr="001735F9">
        <w:rPr>
          <w:rFonts w:ascii="Times New Roman" w:hAnsi="Times New Roman" w:cs="Times New Roman"/>
          <w:sz w:val="24"/>
          <w:szCs w:val="24"/>
        </w:rPr>
        <w:t>Santiago Carrillo.</w:t>
      </w:r>
    </w:p>
    <w:p w14:paraId="26C6A7DF" w14:textId="7AB676EE" w:rsidR="00593118" w:rsidRPr="001735F9" w:rsidRDefault="00593118" w:rsidP="001735F9">
      <w:pPr>
        <w:pStyle w:val="Prrafodelista"/>
        <w:numPr>
          <w:ilvl w:val="0"/>
          <w:numId w:val="19"/>
        </w:numPr>
        <w:rPr>
          <w:rFonts w:ascii="Times New Roman" w:hAnsi="Times New Roman" w:cs="Times New Roman"/>
          <w:sz w:val="24"/>
          <w:szCs w:val="24"/>
        </w:rPr>
      </w:pPr>
      <w:r w:rsidRPr="001735F9">
        <w:rPr>
          <w:rFonts w:ascii="Times New Roman" w:hAnsi="Times New Roman" w:cs="Times New Roman"/>
          <w:sz w:val="24"/>
          <w:szCs w:val="24"/>
        </w:rPr>
        <w:t>Brayan Ayala.</w:t>
      </w:r>
    </w:p>
    <w:p w14:paraId="01FCC38E" w14:textId="514F91C8" w:rsidR="00593118" w:rsidRPr="007A791E" w:rsidRDefault="00593118" w:rsidP="00593118">
      <w:pPr>
        <w:jc w:val="center"/>
        <w:rPr>
          <w:rFonts w:ascii="Times New Roman" w:hAnsi="Times New Roman" w:cs="Times New Roman"/>
          <w:b/>
          <w:bCs/>
          <w:sz w:val="24"/>
          <w:szCs w:val="24"/>
        </w:rPr>
      </w:pPr>
      <w:r w:rsidRPr="007A791E">
        <w:rPr>
          <w:rFonts w:ascii="Times New Roman" w:hAnsi="Times New Roman" w:cs="Times New Roman"/>
          <w:b/>
          <w:bCs/>
          <w:sz w:val="24"/>
          <w:szCs w:val="24"/>
        </w:rPr>
        <w:t>Caso: INNOVACIÓN EN PWC (PriceWaterhouseCoopers).</w:t>
      </w:r>
    </w:p>
    <w:p w14:paraId="5ECAD5E5" w14:textId="267C8BF5" w:rsidR="00593118" w:rsidRPr="007A791E" w:rsidRDefault="00593118" w:rsidP="00593118">
      <w:pPr>
        <w:rPr>
          <w:rFonts w:ascii="Times New Roman" w:hAnsi="Times New Roman" w:cs="Times New Roman"/>
          <w:b/>
          <w:bCs/>
          <w:sz w:val="24"/>
          <w:szCs w:val="24"/>
        </w:rPr>
      </w:pPr>
      <w:r w:rsidRPr="007A791E">
        <w:rPr>
          <w:rFonts w:ascii="Times New Roman" w:hAnsi="Times New Roman" w:cs="Times New Roman"/>
          <w:b/>
          <w:bCs/>
          <w:sz w:val="24"/>
          <w:szCs w:val="24"/>
        </w:rPr>
        <w:t>1.- Que se deberá realizar en PWC para que la innovación este en el centro de los negocios?</w:t>
      </w:r>
    </w:p>
    <w:p w14:paraId="69DD6D40" w14:textId="77777777" w:rsidR="001735F9" w:rsidRDefault="001735F9" w:rsidP="001735F9">
      <w:pPr>
        <w:pStyle w:val="NormalWeb"/>
      </w:pPr>
      <w:r>
        <w:t>Caso: INNOVACIÓN EN PWC (</w:t>
      </w:r>
      <w:proofErr w:type="spellStart"/>
      <w:r>
        <w:t>PriceWaterhouseCoopers</w:t>
      </w:r>
      <w:proofErr w:type="spellEnd"/>
      <w:r>
        <w:t>).</w:t>
      </w:r>
    </w:p>
    <w:p w14:paraId="6EB5121B" w14:textId="77777777" w:rsidR="001735F9" w:rsidRPr="001735F9" w:rsidRDefault="001735F9" w:rsidP="001735F9">
      <w:pPr>
        <w:pStyle w:val="NormalWeb"/>
        <w:rPr>
          <w:b/>
          <w:bCs/>
        </w:rPr>
      </w:pPr>
      <w:r w:rsidRPr="001735F9">
        <w:rPr>
          <w:b/>
          <w:bCs/>
        </w:rPr>
        <w:t>1.- Que se deberá realizar en PWC para que la innovación este en el centro de los negocios?</w:t>
      </w:r>
    </w:p>
    <w:p w14:paraId="33847831" w14:textId="77777777" w:rsidR="001735F9" w:rsidRDefault="001735F9" w:rsidP="001735F9">
      <w:pPr>
        <w:pStyle w:val="NormalWeb"/>
      </w:pPr>
      <w:r>
        <w:t>Para lograr que la innovación permee toda la estructura y se mantenga en el centro del negocio, la dirección reconoció que necesitaban "ir un paso más allá" y extender estas prácticas a todos los profesionales. Para ello, se plantearon tres grandes retos futuros:</w:t>
      </w:r>
    </w:p>
    <w:p w14:paraId="7C03B64E" w14:textId="77777777" w:rsidR="001735F9" w:rsidRDefault="001735F9" w:rsidP="001735F9">
      <w:pPr>
        <w:pStyle w:val="NormalWeb"/>
      </w:pPr>
      <w:r w:rsidRPr="001735F9">
        <w:rPr>
          <w:b/>
          <w:bCs/>
        </w:rPr>
        <w:t xml:space="preserve">Implementar el </w:t>
      </w:r>
      <w:proofErr w:type="spellStart"/>
      <w:r w:rsidRPr="001735F9">
        <w:rPr>
          <w:b/>
          <w:bCs/>
        </w:rPr>
        <w:t>iMarket</w:t>
      </w:r>
      <w:proofErr w:type="spellEnd"/>
      <w:r w:rsidRPr="001735F9">
        <w:rPr>
          <w:b/>
          <w:bCs/>
        </w:rPr>
        <w:t>:</w:t>
      </w:r>
      <w:r>
        <w:t xml:space="preserve"> Un "mercado de la innovación" interno diseñado para conectar los proyectos con los profesionales de la firma, con la meta de que el 50% de la plantilla tenga la oportunidad de participar activamente en procesos de innovación cada año.</w:t>
      </w:r>
    </w:p>
    <w:p w14:paraId="3575CB9E" w14:textId="77777777" w:rsidR="001735F9" w:rsidRDefault="001735F9" w:rsidP="001735F9">
      <w:pPr>
        <w:pStyle w:val="NormalWeb"/>
      </w:pPr>
      <w:r w:rsidRPr="001735F9">
        <w:rPr>
          <w:b/>
          <w:bCs/>
        </w:rPr>
        <w:t xml:space="preserve">Fomentar el </w:t>
      </w:r>
      <w:proofErr w:type="spellStart"/>
      <w:r w:rsidRPr="001735F9">
        <w:rPr>
          <w:b/>
          <w:bCs/>
        </w:rPr>
        <w:t>Intraemprendimiento</w:t>
      </w:r>
      <w:proofErr w:type="spellEnd"/>
      <w:r w:rsidRPr="001735F9">
        <w:rPr>
          <w:b/>
          <w:bCs/>
        </w:rPr>
        <w:t>:</w:t>
      </w:r>
      <w:r>
        <w:t xml:space="preserve"> Abrir la puerta para que las personas de la firma puedan desarrollar nuevos negocios vinculados a la actividad de PwC desde adentro, impulsando el potencial del personal y reteniendo el talento.</w:t>
      </w:r>
    </w:p>
    <w:p w14:paraId="03113ADA" w14:textId="433F6525" w:rsidR="001735F9" w:rsidRDefault="001735F9" w:rsidP="001735F9">
      <w:pPr>
        <w:pStyle w:val="NormalWeb"/>
      </w:pPr>
      <w:r w:rsidRPr="001735F9">
        <w:rPr>
          <w:b/>
          <w:bCs/>
        </w:rPr>
        <w:t xml:space="preserve">Acercarse al segmento de </w:t>
      </w:r>
      <w:r w:rsidRPr="001735F9">
        <w:rPr>
          <w:b/>
          <w:bCs/>
        </w:rPr>
        <w:t>los startups</w:t>
      </w:r>
      <w:r w:rsidRPr="001735F9">
        <w:rPr>
          <w:b/>
          <w:bCs/>
        </w:rPr>
        <w:t>:</w:t>
      </w:r>
      <w:r>
        <w:t xml:space="preserve"> Explorar este nuevo mercado, que ya tenía éxito en otras filiales internacionales de PwC (como Israel), y adaptarlo a la realidad española para generar nuevas tipologías de servicios.</w:t>
      </w:r>
    </w:p>
    <w:p w14:paraId="470B777D" w14:textId="77777777" w:rsidR="001735F9" w:rsidRPr="001735F9" w:rsidRDefault="001735F9" w:rsidP="001735F9">
      <w:pPr>
        <w:pStyle w:val="NormalWeb"/>
        <w:rPr>
          <w:b/>
          <w:bCs/>
        </w:rPr>
      </w:pPr>
      <w:r w:rsidRPr="001735F9">
        <w:rPr>
          <w:b/>
          <w:bCs/>
        </w:rPr>
        <w:t>2.- Cuales son los negocios de PWC?</w:t>
      </w:r>
    </w:p>
    <w:p w14:paraId="1DF3DC64" w14:textId="77777777" w:rsidR="001735F9" w:rsidRDefault="001735F9" w:rsidP="001735F9">
      <w:pPr>
        <w:pStyle w:val="NormalWeb"/>
      </w:pPr>
      <w:r>
        <w:t>La organización operativa de la firma se estructuraba principalmente en tres divisiones de negocio:</w:t>
      </w:r>
    </w:p>
    <w:p w14:paraId="2F5ABAFA" w14:textId="77777777" w:rsidR="001735F9" w:rsidRDefault="001735F9" w:rsidP="001735F9">
      <w:pPr>
        <w:pStyle w:val="NormalWeb"/>
      </w:pPr>
      <w:proofErr w:type="spellStart"/>
      <w:r w:rsidRPr="001735F9">
        <w:rPr>
          <w:b/>
          <w:bCs/>
        </w:rPr>
        <w:t>Advisory</w:t>
      </w:r>
      <w:proofErr w:type="spellEnd"/>
      <w:r w:rsidRPr="001735F9">
        <w:rPr>
          <w:b/>
          <w:bCs/>
        </w:rPr>
        <w:t>:</w:t>
      </w:r>
      <w:r>
        <w:t xml:space="preserve"> Consultoría.</w:t>
      </w:r>
    </w:p>
    <w:p w14:paraId="46C3C9B5" w14:textId="77777777" w:rsidR="001735F9" w:rsidRDefault="001735F9" w:rsidP="001735F9">
      <w:pPr>
        <w:pStyle w:val="NormalWeb"/>
      </w:pPr>
      <w:proofErr w:type="spellStart"/>
      <w:r w:rsidRPr="001735F9">
        <w:rPr>
          <w:b/>
          <w:bCs/>
        </w:rPr>
        <w:t>Assurance</w:t>
      </w:r>
      <w:proofErr w:type="spellEnd"/>
      <w:r w:rsidRPr="001735F9">
        <w:rPr>
          <w:b/>
          <w:bCs/>
        </w:rPr>
        <w:t>:</w:t>
      </w:r>
      <w:r>
        <w:t xml:space="preserve"> Auditoría.</w:t>
      </w:r>
    </w:p>
    <w:p w14:paraId="601E0A21" w14:textId="77777777" w:rsidR="001735F9" w:rsidRDefault="001735F9" w:rsidP="001735F9">
      <w:pPr>
        <w:pStyle w:val="NormalWeb"/>
      </w:pPr>
      <w:r w:rsidRPr="001735F9">
        <w:rPr>
          <w:b/>
          <w:bCs/>
        </w:rPr>
        <w:lastRenderedPageBreak/>
        <w:t>TLS:</w:t>
      </w:r>
      <w:r>
        <w:t xml:space="preserve"> Asesoría Legal y Fiscal.</w:t>
      </w:r>
    </w:p>
    <w:p w14:paraId="7B778AF9" w14:textId="28FD3C44" w:rsidR="001735F9" w:rsidRPr="001735F9" w:rsidRDefault="001735F9" w:rsidP="001735F9">
      <w:pPr>
        <w:pStyle w:val="NormalWeb"/>
        <w:rPr>
          <w:b/>
          <w:bCs/>
        </w:rPr>
      </w:pPr>
      <w:r w:rsidRPr="001735F9">
        <w:rPr>
          <w:b/>
          <w:bCs/>
        </w:rPr>
        <w:t xml:space="preserve">3.- </w:t>
      </w:r>
      <w:r w:rsidRPr="001735F9">
        <w:rPr>
          <w:b/>
          <w:bCs/>
        </w:rPr>
        <w:t>¿Por qué Carlos N, decidido ofrecer un servicio más especializado a los clientes?</w:t>
      </w:r>
    </w:p>
    <w:p w14:paraId="341B5D61" w14:textId="77777777" w:rsidR="001735F9" w:rsidRDefault="001735F9" w:rsidP="001735F9">
      <w:pPr>
        <w:pStyle w:val="NormalWeb"/>
      </w:pPr>
      <w:r>
        <w:t>Carlos Mas decidió ofrecer un servicio más especializado por las siguientes razones:</w:t>
      </w:r>
    </w:p>
    <w:p w14:paraId="18DA33DF" w14:textId="77777777" w:rsidR="001735F9" w:rsidRPr="001735F9" w:rsidRDefault="001735F9" w:rsidP="001735F9">
      <w:pPr>
        <w:pStyle w:val="NormalWeb"/>
        <w:rPr>
          <w:b/>
          <w:bCs/>
        </w:rPr>
      </w:pPr>
      <w:r w:rsidRPr="001735F9">
        <w:rPr>
          <w:b/>
          <w:bCs/>
        </w:rPr>
        <w:t>Diferenciación competitiva:</w:t>
      </w:r>
    </w:p>
    <w:p w14:paraId="0604BF7E" w14:textId="77777777" w:rsidR="001735F9" w:rsidRDefault="001735F9" w:rsidP="001735F9">
      <w:pPr>
        <w:pStyle w:val="NormalWeb"/>
      </w:pPr>
      <w:r>
        <w:t xml:space="preserve">Buscaba diferenciar a PwC de las demás Big </w:t>
      </w:r>
      <w:proofErr w:type="spellStart"/>
      <w:r>
        <w:t>Four</w:t>
      </w:r>
      <w:proofErr w:type="spellEnd"/>
      <w:r>
        <w:t xml:space="preserve"> mediante una propuesta de valor más sofisticada y sectorial.</w:t>
      </w:r>
    </w:p>
    <w:p w14:paraId="7F32F134" w14:textId="77777777" w:rsidR="001735F9" w:rsidRPr="001735F9" w:rsidRDefault="001735F9" w:rsidP="001735F9">
      <w:pPr>
        <w:pStyle w:val="NormalWeb"/>
        <w:rPr>
          <w:b/>
          <w:bCs/>
        </w:rPr>
      </w:pPr>
      <w:r w:rsidRPr="001735F9">
        <w:rPr>
          <w:b/>
          <w:bCs/>
        </w:rPr>
        <w:t>Mayor valor agregado al cliente:</w:t>
      </w:r>
    </w:p>
    <w:p w14:paraId="605C4D14" w14:textId="77777777" w:rsidR="001735F9" w:rsidRDefault="001735F9" w:rsidP="001735F9">
      <w:pPr>
        <w:pStyle w:val="NormalWeb"/>
      </w:pPr>
      <w:r>
        <w:t>Los clientes demandaban soluciones más integrales y estratégicas, no solo servicios técnicos aislados.</w:t>
      </w:r>
    </w:p>
    <w:p w14:paraId="5005D567" w14:textId="77777777" w:rsidR="001735F9" w:rsidRPr="001735F9" w:rsidRDefault="001735F9" w:rsidP="001735F9">
      <w:pPr>
        <w:pStyle w:val="NormalWeb"/>
        <w:rPr>
          <w:b/>
          <w:bCs/>
        </w:rPr>
      </w:pPr>
      <w:r w:rsidRPr="001735F9">
        <w:rPr>
          <w:b/>
          <w:bCs/>
        </w:rPr>
        <w:t>Modelo “</w:t>
      </w:r>
      <w:proofErr w:type="spellStart"/>
      <w:r w:rsidRPr="001735F9">
        <w:rPr>
          <w:b/>
          <w:bCs/>
        </w:rPr>
        <w:t>one</w:t>
      </w:r>
      <w:proofErr w:type="spellEnd"/>
      <w:r w:rsidRPr="001735F9">
        <w:rPr>
          <w:b/>
          <w:bCs/>
        </w:rPr>
        <w:t xml:space="preserve"> stop shop”:</w:t>
      </w:r>
    </w:p>
    <w:p w14:paraId="0AD8A1CB" w14:textId="77777777" w:rsidR="001735F9" w:rsidRDefault="001735F9" w:rsidP="001735F9">
      <w:pPr>
        <w:pStyle w:val="NormalWeb"/>
      </w:pPr>
      <w:r>
        <w:t>Quería integrar Auditoría, TLS y Consultoría para ofrecer soluciones multidisciplinarias a problemas complejos.</w:t>
      </w:r>
    </w:p>
    <w:p w14:paraId="33C3A643" w14:textId="77777777" w:rsidR="001735F9" w:rsidRPr="001735F9" w:rsidRDefault="001735F9" w:rsidP="001735F9">
      <w:pPr>
        <w:pStyle w:val="NormalWeb"/>
        <w:rPr>
          <w:b/>
          <w:bCs/>
        </w:rPr>
      </w:pPr>
      <w:r w:rsidRPr="001735F9">
        <w:rPr>
          <w:b/>
          <w:bCs/>
        </w:rPr>
        <w:t xml:space="preserve">Convertirse en </w:t>
      </w:r>
      <w:proofErr w:type="spellStart"/>
      <w:r w:rsidRPr="001735F9">
        <w:rPr>
          <w:b/>
          <w:bCs/>
        </w:rPr>
        <w:t>Trusted</w:t>
      </w:r>
      <w:proofErr w:type="spellEnd"/>
      <w:r w:rsidRPr="001735F9">
        <w:rPr>
          <w:b/>
          <w:bCs/>
        </w:rPr>
        <w:t xml:space="preserve"> </w:t>
      </w:r>
      <w:proofErr w:type="spellStart"/>
      <w:r w:rsidRPr="001735F9">
        <w:rPr>
          <w:b/>
          <w:bCs/>
        </w:rPr>
        <w:t>Advisor</w:t>
      </w:r>
      <w:proofErr w:type="spellEnd"/>
      <w:r w:rsidRPr="001735F9">
        <w:rPr>
          <w:b/>
          <w:bCs/>
        </w:rPr>
        <w:t>:</w:t>
      </w:r>
    </w:p>
    <w:p w14:paraId="73CE370C" w14:textId="77777777" w:rsidR="001735F9" w:rsidRDefault="001735F9" w:rsidP="001735F9">
      <w:pPr>
        <w:pStyle w:val="NormalWeb"/>
      </w:pPr>
      <w:r>
        <w:t>El objetivo era pasar de proveedor de servicios a asesor estratégico de confianza.</w:t>
      </w:r>
    </w:p>
    <w:p w14:paraId="4922B7FA" w14:textId="77777777" w:rsidR="001735F9" w:rsidRPr="001735F9" w:rsidRDefault="001735F9" w:rsidP="001735F9">
      <w:pPr>
        <w:pStyle w:val="NormalWeb"/>
        <w:rPr>
          <w:b/>
          <w:bCs/>
        </w:rPr>
      </w:pPr>
      <w:r w:rsidRPr="001735F9">
        <w:rPr>
          <w:b/>
          <w:bCs/>
        </w:rPr>
        <w:t>Preparación ante una crisis futura:</w:t>
      </w:r>
    </w:p>
    <w:p w14:paraId="53F8CBF5" w14:textId="77777777" w:rsidR="001735F9" w:rsidRDefault="001735F9" w:rsidP="001735F9">
      <w:pPr>
        <w:pStyle w:val="NormalWeb"/>
      </w:pPr>
      <w:r>
        <w:t>Aunque en 2006 la economía crecía, Mas anticipó que un entorno más adverso exigiría mayor especialización y solidez competitiva.</w:t>
      </w:r>
    </w:p>
    <w:p w14:paraId="0AB5638D" w14:textId="77777777" w:rsidR="001735F9" w:rsidRPr="001735F9" w:rsidRDefault="001735F9" w:rsidP="001735F9">
      <w:pPr>
        <w:pStyle w:val="NormalWeb"/>
        <w:rPr>
          <w:b/>
          <w:bCs/>
        </w:rPr>
      </w:pPr>
      <w:r w:rsidRPr="001735F9">
        <w:rPr>
          <w:b/>
          <w:bCs/>
        </w:rPr>
        <w:t>Transformación del modelo comercial:</w:t>
      </w:r>
    </w:p>
    <w:p w14:paraId="6BB8E120" w14:textId="77777777" w:rsidR="001735F9" w:rsidRDefault="001735F9" w:rsidP="001735F9">
      <w:pPr>
        <w:pStyle w:val="NormalWeb"/>
      </w:pPr>
      <w:r>
        <w:t>La especialización implicaba cambiar la forma de vender, relacionarse y generar negocio.</w:t>
      </w:r>
    </w:p>
    <w:p w14:paraId="2EA17EB7" w14:textId="77777777" w:rsidR="001735F9" w:rsidRPr="001735F9" w:rsidRDefault="001735F9" w:rsidP="001735F9">
      <w:pPr>
        <w:pStyle w:val="NormalWeb"/>
        <w:rPr>
          <w:b/>
          <w:bCs/>
        </w:rPr>
      </w:pPr>
      <w:r w:rsidRPr="001735F9">
        <w:rPr>
          <w:b/>
          <w:bCs/>
        </w:rPr>
        <w:t>Generación de nuevas oportunidades de negocio:</w:t>
      </w:r>
    </w:p>
    <w:p w14:paraId="0486F027" w14:textId="77777777" w:rsidR="001735F9" w:rsidRDefault="001735F9" w:rsidP="001735F9">
      <w:pPr>
        <w:pStyle w:val="NormalWeb"/>
      </w:pPr>
      <w:r>
        <w:t>Un servicio más especializado permitía capturar necesidades más complejas y aumentar ingresos.</w:t>
      </w:r>
    </w:p>
    <w:p w14:paraId="47B7A816" w14:textId="77777777" w:rsidR="001735F9" w:rsidRPr="001735F9" w:rsidRDefault="001735F9" w:rsidP="001735F9">
      <w:pPr>
        <w:pStyle w:val="NormalWeb"/>
        <w:rPr>
          <w:b/>
          <w:bCs/>
        </w:rPr>
      </w:pPr>
      <w:r w:rsidRPr="001735F9">
        <w:rPr>
          <w:b/>
          <w:bCs/>
        </w:rPr>
        <w:t xml:space="preserve">4.- En que consiste el programa </w:t>
      </w:r>
      <w:proofErr w:type="spellStart"/>
      <w:r w:rsidRPr="001735F9">
        <w:rPr>
          <w:b/>
          <w:bCs/>
        </w:rPr>
        <w:t>Filling</w:t>
      </w:r>
      <w:proofErr w:type="spellEnd"/>
      <w:r w:rsidRPr="001735F9">
        <w:rPr>
          <w:b/>
          <w:bCs/>
        </w:rPr>
        <w:t xml:space="preserve"> </w:t>
      </w:r>
      <w:proofErr w:type="spellStart"/>
      <w:r w:rsidRPr="001735F9">
        <w:rPr>
          <w:b/>
          <w:bCs/>
        </w:rPr>
        <w:t>the</w:t>
      </w:r>
      <w:proofErr w:type="spellEnd"/>
      <w:r w:rsidRPr="001735F9">
        <w:rPr>
          <w:b/>
          <w:bCs/>
        </w:rPr>
        <w:t xml:space="preserve"> Gaps?</w:t>
      </w:r>
    </w:p>
    <w:p w14:paraId="6BB83C5D" w14:textId="77777777" w:rsidR="001735F9" w:rsidRDefault="001735F9" w:rsidP="001735F9">
      <w:pPr>
        <w:pStyle w:val="NormalWeb"/>
      </w:pPr>
      <w:r>
        <w:t xml:space="preserve">El programa </w:t>
      </w:r>
      <w:proofErr w:type="spellStart"/>
      <w:r>
        <w:t>Filling</w:t>
      </w:r>
      <w:proofErr w:type="spellEnd"/>
      <w:r>
        <w:t xml:space="preserve"> </w:t>
      </w:r>
      <w:proofErr w:type="spellStart"/>
      <w:r>
        <w:t>the</w:t>
      </w:r>
      <w:proofErr w:type="spellEnd"/>
      <w:r>
        <w:t xml:space="preserve"> Gaps consistió en una estrategia de fortalecimiento de capacidades mediante la incorporación de talento y la adquisición de firmas especializadas. Se desarrolló entre 2006 y 2010 y tuvo las siguientes características:</w:t>
      </w:r>
    </w:p>
    <w:p w14:paraId="15F0BCF7" w14:textId="77777777" w:rsidR="001735F9" w:rsidRPr="001735F9" w:rsidRDefault="001735F9" w:rsidP="001735F9">
      <w:pPr>
        <w:pStyle w:val="NormalWeb"/>
        <w:rPr>
          <w:b/>
          <w:bCs/>
        </w:rPr>
      </w:pPr>
      <w:r w:rsidRPr="001735F9">
        <w:rPr>
          <w:b/>
          <w:bCs/>
        </w:rPr>
        <w:t>Identificación de brechas estratégicas:</w:t>
      </w:r>
    </w:p>
    <w:p w14:paraId="4F8E08E6" w14:textId="77777777" w:rsidR="001735F9" w:rsidRDefault="001735F9" w:rsidP="001735F9">
      <w:pPr>
        <w:pStyle w:val="NormalWeb"/>
      </w:pPr>
      <w:r>
        <w:lastRenderedPageBreak/>
        <w:t>Se detectaron áreas donde PwC tenía debilidades técnicas, sectoriales o comerciales.</w:t>
      </w:r>
    </w:p>
    <w:p w14:paraId="16F8501A" w14:textId="77777777" w:rsidR="001735F9" w:rsidRPr="001735F9" w:rsidRDefault="001735F9" w:rsidP="001735F9">
      <w:pPr>
        <w:pStyle w:val="NormalWeb"/>
        <w:rPr>
          <w:b/>
          <w:bCs/>
        </w:rPr>
      </w:pPr>
      <w:r w:rsidRPr="001735F9">
        <w:rPr>
          <w:b/>
          <w:bCs/>
        </w:rPr>
        <w:t>Incorporación de talento clave:</w:t>
      </w:r>
    </w:p>
    <w:p w14:paraId="4F25A22D" w14:textId="77777777" w:rsidR="001735F9" w:rsidRDefault="001735F9" w:rsidP="001735F9">
      <w:pPr>
        <w:pStyle w:val="NormalWeb"/>
        <w:numPr>
          <w:ilvl w:val="0"/>
          <w:numId w:val="18"/>
        </w:numPr>
      </w:pPr>
      <w:r>
        <w:t>Se integraron 38 socios y 496 profesionales provenientes de:</w:t>
      </w:r>
    </w:p>
    <w:p w14:paraId="71CB830B" w14:textId="77777777" w:rsidR="001735F9" w:rsidRDefault="001735F9" w:rsidP="001735F9">
      <w:pPr>
        <w:pStyle w:val="NormalWeb"/>
        <w:numPr>
          <w:ilvl w:val="0"/>
          <w:numId w:val="18"/>
        </w:numPr>
      </w:pPr>
      <w:r>
        <w:t>Consultoría tecnológica.</w:t>
      </w:r>
    </w:p>
    <w:p w14:paraId="276F3003" w14:textId="77777777" w:rsidR="001735F9" w:rsidRDefault="001735F9" w:rsidP="001735F9">
      <w:pPr>
        <w:pStyle w:val="NormalWeb"/>
        <w:numPr>
          <w:ilvl w:val="0"/>
          <w:numId w:val="18"/>
        </w:numPr>
      </w:pPr>
      <w:r>
        <w:t>Despachos de abogados.</w:t>
      </w:r>
    </w:p>
    <w:p w14:paraId="6F91B608" w14:textId="77777777" w:rsidR="001735F9" w:rsidRDefault="001735F9" w:rsidP="001735F9">
      <w:pPr>
        <w:pStyle w:val="NormalWeb"/>
        <w:numPr>
          <w:ilvl w:val="0"/>
          <w:numId w:val="18"/>
        </w:numPr>
      </w:pPr>
      <w:r>
        <w:t xml:space="preserve">Otras Big </w:t>
      </w:r>
      <w:proofErr w:type="spellStart"/>
      <w:r>
        <w:t>Four</w:t>
      </w:r>
      <w:proofErr w:type="spellEnd"/>
      <w:r>
        <w:t>.</w:t>
      </w:r>
    </w:p>
    <w:p w14:paraId="44015408" w14:textId="77777777" w:rsidR="001735F9" w:rsidRDefault="001735F9" w:rsidP="001735F9">
      <w:pPr>
        <w:pStyle w:val="NormalWeb"/>
        <w:numPr>
          <w:ilvl w:val="0"/>
          <w:numId w:val="18"/>
        </w:numPr>
      </w:pPr>
      <w:r>
        <w:t>Consultoras estratégicas.</w:t>
      </w:r>
    </w:p>
    <w:p w14:paraId="02018BF4" w14:textId="77777777" w:rsidR="001735F9" w:rsidRDefault="001735F9" w:rsidP="001735F9">
      <w:pPr>
        <w:pStyle w:val="NormalWeb"/>
        <w:numPr>
          <w:ilvl w:val="0"/>
          <w:numId w:val="18"/>
        </w:numPr>
      </w:pPr>
      <w:r>
        <w:t>Industria.</w:t>
      </w:r>
    </w:p>
    <w:p w14:paraId="1062C957" w14:textId="77777777" w:rsidR="001735F9" w:rsidRDefault="001735F9" w:rsidP="001735F9">
      <w:pPr>
        <w:pStyle w:val="NormalWeb"/>
        <w:numPr>
          <w:ilvl w:val="0"/>
          <w:numId w:val="18"/>
        </w:numPr>
      </w:pPr>
      <w:r>
        <w:t>Sector público.</w:t>
      </w:r>
    </w:p>
    <w:p w14:paraId="38D2BCD7" w14:textId="77777777" w:rsidR="001735F9" w:rsidRPr="001735F9" w:rsidRDefault="001735F9" w:rsidP="001735F9">
      <w:pPr>
        <w:pStyle w:val="NormalWeb"/>
        <w:rPr>
          <w:b/>
          <w:bCs/>
        </w:rPr>
      </w:pPr>
      <w:r w:rsidRPr="001735F9">
        <w:rPr>
          <w:b/>
          <w:bCs/>
        </w:rPr>
        <w:t>Adquisiciones estratégicas:</w:t>
      </w:r>
    </w:p>
    <w:p w14:paraId="07A3515C" w14:textId="77777777" w:rsidR="001735F9" w:rsidRDefault="001735F9" w:rsidP="001735F9">
      <w:pPr>
        <w:pStyle w:val="NormalWeb"/>
      </w:pPr>
      <w:r>
        <w:t xml:space="preserve">Destaca la compra de la división de consultoría de </w:t>
      </w:r>
      <w:proofErr w:type="spellStart"/>
      <w:r>
        <w:t>Bearing</w:t>
      </w:r>
      <w:proofErr w:type="spellEnd"/>
      <w:r>
        <w:t xml:space="preserve"> Point en España.</w:t>
      </w:r>
    </w:p>
    <w:p w14:paraId="1F74F451" w14:textId="77777777" w:rsidR="001735F9" w:rsidRPr="001735F9" w:rsidRDefault="001735F9" w:rsidP="001735F9">
      <w:pPr>
        <w:pStyle w:val="NormalWeb"/>
        <w:rPr>
          <w:b/>
          <w:bCs/>
        </w:rPr>
      </w:pPr>
      <w:r w:rsidRPr="001735F9">
        <w:rPr>
          <w:b/>
          <w:bCs/>
        </w:rPr>
        <w:t>Innovación inorgánica:</w:t>
      </w:r>
    </w:p>
    <w:p w14:paraId="64CD7C40" w14:textId="77777777" w:rsidR="001735F9" w:rsidRDefault="001735F9" w:rsidP="001735F9">
      <w:pPr>
        <w:pStyle w:val="NormalWeb"/>
      </w:pPr>
      <w:r>
        <w:t>En lugar de desarrollar internamente todas las capacidades, PwC aceleró su crecimiento mediante integración externa.</w:t>
      </w:r>
    </w:p>
    <w:p w14:paraId="3A247F43" w14:textId="77777777" w:rsidR="001735F9" w:rsidRPr="001735F9" w:rsidRDefault="001735F9" w:rsidP="001735F9">
      <w:pPr>
        <w:pStyle w:val="NormalWeb"/>
        <w:rPr>
          <w:b/>
          <w:bCs/>
        </w:rPr>
      </w:pPr>
      <w:r w:rsidRPr="001735F9">
        <w:rPr>
          <w:b/>
          <w:bCs/>
        </w:rPr>
        <w:t xml:space="preserve">Fortalecimiento de </w:t>
      </w:r>
      <w:proofErr w:type="spellStart"/>
      <w:r w:rsidRPr="001735F9">
        <w:rPr>
          <w:b/>
          <w:bCs/>
        </w:rPr>
        <w:t>Advisory</w:t>
      </w:r>
      <w:proofErr w:type="spellEnd"/>
      <w:r w:rsidRPr="001735F9">
        <w:rPr>
          <w:b/>
          <w:bCs/>
        </w:rPr>
        <w:t>:</w:t>
      </w:r>
    </w:p>
    <w:p w14:paraId="25330947" w14:textId="77777777" w:rsidR="001735F9" w:rsidRDefault="001735F9" w:rsidP="001735F9">
      <w:pPr>
        <w:pStyle w:val="NormalWeb"/>
      </w:pPr>
      <w:r>
        <w:t>La división de Consultoría fue una de las más beneficiadas, creciendo significativamente en tamaño y posicionamiento.</w:t>
      </w:r>
    </w:p>
    <w:p w14:paraId="31F7BDC3" w14:textId="77777777" w:rsidR="001735F9" w:rsidRPr="001735F9" w:rsidRDefault="001735F9" w:rsidP="001735F9">
      <w:pPr>
        <w:pStyle w:val="NormalWeb"/>
        <w:rPr>
          <w:b/>
          <w:bCs/>
        </w:rPr>
      </w:pPr>
      <w:r w:rsidRPr="001735F9">
        <w:rPr>
          <w:b/>
          <w:bCs/>
        </w:rPr>
        <w:t>Ampliación del portafolio de servicios:</w:t>
      </w:r>
    </w:p>
    <w:p w14:paraId="0837BAEF" w14:textId="77777777" w:rsidR="001735F9" w:rsidRDefault="001735F9" w:rsidP="001735F9">
      <w:pPr>
        <w:pStyle w:val="NormalWeb"/>
      </w:pPr>
      <w:r>
        <w:t>Permitió ofrecer servicios más sofisticados y especializados.</w:t>
      </w:r>
    </w:p>
    <w:p w14:paraId="5D0B152D" w14:textId="77777777" w:rsidR="001735F9" w:rsidRPr="001735F9" w:rsidRDefault="001735F9" w:rsidP="001735F9">
      <w:pPr>
        <w:pStyle w:val="NormalWeb"/>
        <w:rPr>
          <w:b/>
          <w:bCs/>
        </w:rPr>
      </w:pPr>
      <w:r w:rsidRPr="001735F9">
        <w:rPr>
          <w:b/>
          <w:bCs/>
        </w:rPr>
        <w:t>Apoyo a la estrategia Lidera:</w:t>
      </w:r>
    </w:p>
    <w:p w14:paraId="0D383B96" w14:textId="77777777" w:rsidR="001735F9" w:rsidRDefault="001735F9" w:rsidP="001735F9">
      <w:pPr>
        <w:pStyle w:val="NormalWeb"/>
      </w:pPr>
      <w:r>
        <w:t>Fue una palanca clave para lograr liderazgo sectorial y diferenciación.</w:t>
      </w:r>
    </w:p>
    <w:p w14:paraId="4152B3F9" w14:textId="77777777" w:rsidR="001735F9" w:rsidRPr="001735F9" w:rsidRDefault="001735F9" w:rsidP="001735F9">
      <w:pPr>
        <w:pStyle w:val="NormalWeb"/>
        <w:rPr>
          <w:b/>
          <w:bCs/>
        </w:rPr>
      </w:pPr>
      <w:r w:rsidRPr="001735F9">
        <w:rPr>
          <w:b/>
          <w:bCs/>
        </w:rPr>
        <w:t>Impulso a la innovación:</w:t>
      </w:r>
    </w:p>
    <w:p w14:paraId="1CCF2011" w14:textId="77777777" w:rsidR="001735F9" w:rsidRDefault="001735F9" w:rsidP="001735F9">
      <w:pPr>
        <w:pStyle w:val="NormalWeb"/>
      </w:pPr>
      <w:r>
        <w:t>La diversidad de perfiles facilitó la generación de nuevas ideas y proyectos de innovación radical.</w:t>
      </w:r>
    </w:p>
    <w:p w14:paraId="510DE007" w14:textId="77777777" w:rsidR="001735F9" w:rsidRDefault="001735F9" w:rsidP="001735F9">
      <w:pPr>
        <w:pStyle w:val="NormalWeb"/>
      </w:pPr>
      <w:r w:rsidRPr="001735F9">
        <w:rPr>
          <w:b/>
          <w:bCs/>
        </w:rPr>
        <w:t>5.- Que tipo de resistencias al cambio – cultura tuvo el personal y como lo venció?</w:t>
      </w:r>
    </w:p>
    <w:p w14:paraId="1C583AB2" w14:textId="77777777" w:rsidR="001735F9" w:rsidRPr="001735F9" w:rsidRDefault="001735F9" w:rsidP="001735F9">
      <w:pPr>
        <w:pStyle w:val="NormalWeb"/>
        <w:rPr>
          <w:b/>
          <w:bCs/>
        </w:rPr>
      </w:pPr>
      <w:r w:rsidRPr="001735F9">
        <w:rPr>
          <w:b/>
          <w:bCs/>
        </w:rPr>
        <w:t>Legal:</w:t>
      </w:r>
    </w:p>
    <w:p w14:paraId="7FD08372" w14:textId="77777777" w:rsidR="001735F9" w:rsidRDefault="001735F9" w:rsidP="001735F9">
      <w:pPr>
        <w:pStyle w:val="NormalWeb"/>
        <w:numPr>
          <w:ilvl w:val="0"/>
          <w:numId w:val="17"/>
        </w:numPr>
        <w:jc w:val="both"/>
      </w:pPr>
      <w:r>
        <w:t>Resistencia cultural</w:t>
      </w:r>
    </w:p>
    <w:p w14:paraId="7D4FA2DF" w14:textId="77777777" w:rsidR="001735F9" w:rsidRDefault="001735F9" w:rsidP="001735F9">
      <w:pPr>
        <w:pStyle w:val="NormalWeb"/>
        <w:numPr>
          <w:ilvl w:val="0"/>
          <w:numId w:val="17"/>
        </w:numPr>
        <w:jc w:val="both"/>
      </w:pPr>
      <w:r>
        <w:t>Los abogados creían que innovar era solo mejorar propuestas técnicas, sin enfoque comercial.</w:t>
      </w:r>
    </w:p>
    <w:p w14:paraId="73284BF4" w14:textId="77777777" w:rsidR="001735F9" w:rsidRDefault="001735F9" w:rsidP="001735F9">
      <w:pPr>
        <w:pStyle w:val="NormalWeb"/>
        <w:numPr>
          <w:ilvl w:val="0"/>
          <w:numId w:val="17"/>
        </w:numPr>
        <w:jc w:val="both"/>
      </w:pPr>
      <w:r>
        <w:lastRenderedPageBreak/>
        <w:t>Estrategia para superarla</w:t>
      </w:r>
    </w:p>
    <w:p w14:paraId="6BF6D516" w14:textId="77777777" w:rsidR="001735F9" w:rsidRDefault="001735F9" w:rsidP="001735F9">
      <w:pPr>
        <w:pStyle w:val="NormalWeb"/>
        <w:numPr>
          <w:ilvl w:val="0"/>
          <w:numId w:val="17"/>
        </w:numPr>
        <w:jc w:val="both"/>
      </w:pPr>
      <w:r>
        <w:t>Enfocar la innovación en la relación con el cliente y procesos comerciales.</w:t>
      </w:r>
    </w:p>
    <w:p w14:paraId="77599A29" w14:textId="77777777" w:rsidR="001735F9" w:rsidRPr="001735F9" w:rsidRDefault="001735F9" w:rsidP="001735F9">
      <w:pPr>
        <w:pStyle w:val="NormalWeb"/>
        <w:rPr>
          <w:b/>
          <w:bCs/>
        </w:rPr>
      </w:pPr>
      <w:r w:rsidRPr="001735F9">
        <w:rPr>
          <w:b/>
          <w:bCs/>
        </w:rPr>
        <w:t>Auditoría:</w:t>
      </w:r>
    </w:p>
    <w:p w14:paraId="437C09C2" w14:textId="77777777" w:rsidR="001735F9" w:rsidRPr="001735F9" w:rsidRDefault="001735F9" w:rsidP="001735F9">
      <w:pPr>
        <w:pStyle w:val="NormalWeb"/>
        <w:numPr>
          <w:ilvl w:val="0"/>
          <w:numId w:val="16"/>
        </w:numPr>
        <w:rPr>
          <w:b/>
          <w:bCs/>
        </w:rPr>
      </w:pPr>
      <w:r w:rsidRPr="001735F9">
        <w:rPr>
          <w:b/>
          <w:bCs/>
        </w:rPr>
        <w:t>Resistencia cultural</w:t>
      </w:r>
    </w:p>
    <w:p w14:paraId="088F42DA" w14:textId="77777777" w:rsidR="001735F9" w:rsidRDefault="001735F9" w:rsidP="001735F9">
      <w:pPr>
        <w:pStyle w:val="NormalWeb"/>
      </w:pPr>
      <w:r>
        <w:t>Escepticismo inicial: "Esto no va con nosotros", bromas sobre la innovación en un entorno altamente regulado.</w:t>
      </w:r>
    </w:p>
    <w:p w14:paraId="7B0463D5" w14:textId="77777777" w:rsidR="001735F9" w:rsidRPr="001735F9" w:rsidRDefault="001735F9" w:rsidP="001735F9">
      <w:pPr>
        <w:pStyle w:val="NormalWeb"/>
        <w:numPr>
          <w:ilvl w:val="0"/>
          <w:numId w:val="15"/>
        </w:numPr>
        <w:rPr>
          <w:b/>
          <w:bCs/>
        </w:rPr>
      </w:pPr>
      <w:r w:rsidRPr="001735F9">
        <w:rPr>
          <w:b/>
          <w:bCs/>
        </w:rPr>
        <w:t>Estrategia para superarla</w:t>
      </w:r>
    </w:p>
    <w:p w14:paraId="7276DCE2" w14:textId="77777777" w:rsidR="001735F9" w:rsidRDefault="001735F9" w:rsidP="001735F9">
      <w:pPr>
        <w:pStyle w:val="NormalWeb"/>
      </w:pPr>
      <w:r>
        <w:t>Alinear la disciplina del proceso de innovación con el perfil metódico de los auditores; demostrar resultados visibles.</w:t>
      </w:r>
    </w:p>
    <w:p w14:paraId="5504C9B4" w14:textId="77777777" w:rsidR="001735F9" w:rsidRPr="001735F9" w:rsidRDefault="001735F9" w:rsidP="001735F9">
      <w:pPr>
        <w:pStyle w:val="NormalWeb"/>
        <w:rPr>
          <w:b/>
          <w:bCs/>
        </w:rPr>
      </w:pPr>
      <w:r w:rsidRPr="001735F9">
        <w:rPr>
          <w:b/>
          <w:bCs/>
        </w:rPr>
        <w:t>Consultoría:</w:t>
      </w:r>
    </w:p>
    <w:p w14:paraId="33BAE51E" w14:textId="77777777" w:rsidR="001735F9" w:rsidRPr="001735F9" w:rsidRDefault="001735F9" w:rsidP="001735F9">
      <w:pPr>
        <w:pStyle w:val="NormalWeb"/>
        <w:numPr>
          <w:ilvl w:val="0"/>
          <w:numId w:val="14"/>
        </w:numPr>
        <w:rPr>
          <w:b/>
          <w:bCs/>
        </w:rPr>
      </w:pPr>
      <w:r w:rsidRPr="001735F9">
        <w:rPr>
          <w:b/>
          <w:bCs/>
        </w:rPr>
        <w:t>Resistencia cultural</w:t>
      </w:r>
    </w:p>
    <w:p w14:paraId="23F48ADD" w14:textId="77777777" w:rsidR="001735F9" w:rsidRDefault="001735F9" w:rsidP="001735F9">
      <w:pPr>
        <w:pStyle w:val="NormalWeb"/>
      </w:pPr>
      <w:r>
        <w:t>"Nosotros ya innovamos en cada propuesta": Dificultad para distinguir innovación incremental de radical.</w:t>
      </w:r>
    </w:p>
    <w:p w14:paraId="77800764" w14:textId="77777777" w:rsidR="001735F9" w:rsidRPr="001735F9" w:rsidRDefault="001735F9" w:rsidP="001735F9">
      <w:pPr>
        <w:pStyle w:val="NormalWeb"/>
        <w:numPr>
          <w:ilvl w:val="0"/>
          <w:numId w:val="13"/>
        </w:numPr>
        <w:rPr>
          <w:b/>
          <w:bCs/>
        </w:rPr>
      </w:pPr>
      <w:r w:rsidRPr="001735F9">
        <w:rPr>
          <w:b/>
          <w:bCs/>
        </w:rPr>
        <w:t>Estrategia para superarla</w:t>
      </w:r>
    </w:p>
    <w:p w14:paraId="05A86FA2" w14:textId="77777777" w:rsidR="001735F9" w:rsidRDefault="001735F9" w:rsidP="001735F9">
      <w:pPr>
        <w:pStyle w:val="NormalWeb"/>
      </w:pPr>
      <w:r>
        <w:t xml:space="preserve">Enfocar esfuerzos en innovación radical; usar </w:t>
      </w:r>
      <w:proofErr w:type="spellStart"/>
      <w:r>
        <w:t>Filling</w:t>
      </w:r>
      <w:proofErr w:type="spellEnd"/>
      <w:r>
        <w:t xml:space="preserve"> </w:t>
      </w:r>
      <w:proofErr w:type="spellStart"/>
      <w:r>
        <w:t>the</w:t>
      </w:r>
      <w:proofErr w:type="spellEnd"/>
      <w:r>
        <w:t xml:space="preserve"> Gaps para integrar nuevos perfiles con mentalidad innovadora.</w:t>
      </w:r>
    </w:p>
    <w:p w14:paraId="29CF4756" w14:textId="77777777" w:rsidR="001735F9" w:rsidRPr="001735F9" w:rsidRDefault="001735F9" w:rsidP="001735F9">
      <w:pPr>
        <w:pStyle w:val="NormalWeb"/>
        <w:numPr>
          <w:ilvl w:val="0"/>
          <w:numId w:val="12"/>
        </w:numPr>
        <w:rPr>
          <w:b/>
          <w:bCs/>
        </w:rPr>
      </w:pPr>
      <w:r w:rsidRPr="001735F9">
        <w:rPr>
          <w:b/>
          <w:bCs/>
        </w:rPr>
        <w:t>Estrategias transversales de cambio:</w:t>
      </w:r>
    </w:p>
    <w:p w14:paraId="0FF06B89" w14:textId="77777777" w:rsidR="001735F9" w:rsidRDefault="001735F9" w:rsidP="001735F9">
      <w:pPr>
        <w:pStyle w:val="NormalWeb"/>
      </w:pPr>
      <w:r>
        <w:t>Liderazgo con el ejemplo, Resultados medibles, Adaptación del enfoque y Apoyo de la alta dirección.</w:t>
      </w:r>
    </w:p>
    <w:p w14:paraId="155A3094" w14:textId="77777777" w:rsidR="001735F9" w:rsidRPr="001735F9" w:rsidRDefault="001735F9" w:rsidP="001735F9">
      <w:pPr>
        <w:pStyle w:val="NormalWeb"/>
        <w:rPr>
          <w:b/>
          <w:bCs/>
        </w:rPr>
      </w:pPr>
      <w:r w:rsidRPr="001735F9">
        <w:rPr>
          <w:b/>
          <w:bCs/>
        </w:rPr>
        <w:t>6.- Que se gestionó desde TH para portar al cambio cultural y la innovación?</w:t>
      </w:r>
    </w:p>
    <w:p w14:paraId="40064E05" w14:textId="77777777" w:rsidR="001735F9" w:rsidRPr="001735F9" w:rsidRDefault="001735F9" w:rsidP="001735F9">
      <w:pPr>
        <w:pStyle w:val="NormalWeb"/>
        <w:numPr>
          <w:ilvl w:val="0"/>
          <w:numId w:val="7"/>
        </w:numPr>
        <w:rPr>
          <w:b/>
          <w:bCs/>
        </w:rPr>
      </w:pPr>
      <w:r w:rsidRPr="001735F9">
        <w:rPr>
          <w:b/>
          <w:bCs/>
        </w:rPr>
        <w:t>Desarrollo de carrera y evaluación:</w:t>
      </w:r>
    </w:p>
    <w:p w14:paraId="4CEBEEC1" w14:textId="77777777" w:rsidR="001735F9" w:rsidRDefault="001735F9" w:rsidP="001735F9">
      <w:pPr>
        <w:pStyle w:val="NormalWeb"/>
      </w:pPr>
      <w:r>
        <w:t>Inclusión de "Innovación y carácter emprendedor" como una de las 5 dimensiones para evaluar el potencial de carrera profesional.</w:t>
      </w:r>
    </w:p>
    <w:p w14:paraId="12335342" w14:textId="77777777" w:rsidR="001735F9" w:rsidRDefault="001735F9" w:rsidP="001735F9">
      <w:pPr>
        <w:pStyle w:val="NormalWeb"/>
      </w:pPr>
      <w:r>
        <w:t>Incorporación progresiva de indicadores de innovación en las evaluaciones de desempeño.</w:t>
      </w:r>
    </w:p>
    <w:p w14:paraId="560DC917" w14:textId="77777777" w:rsidR="001735F9" w:rsidRDefault="001735F9" w:rsidP="001735F9">
      <w:pPr>
        <w:pStyle w:val="NormalWeb"/>
      </w:pPr>
      <w:r>
        <w:t>Vinculación de retribución variable a la participación en proyectos de innovación.</w:t>
      </w:r>
    </w:p>
    <w:p w14:paraId="69E86772" w14:textId="77777777" w:rsidR="001735F9" w:rsidRPr="001735F9" w:rsidRDefault="001735F9" w:rsidP="001735F9">
      <w:pPr>
        <w:pStyle w:val="NormalWeb"/>
        <w:numPr>
          <w:ilvl w:val="0"/>
          <w:numId w:val="8"/>
        </w:numPr>
        <w:rPr>
          <w:b/>
          <w:bCs/>
        </w:rPr>
      </w:pPr>
      <w:r w:rsidRPr="001735F9">
        <w:rPr>
          <w:b/>
          <w:bCs/>
        </w:rPr>
        <w:t>Formación y capacitación:</w:t>
      </w:r>
    </w:p>
    <w:p w14:paraId="13D5766E" w14:textId="77777777" w:rsidR="001735F9" w:rsidRDefault="001735F9" w:rsidP="001735F9">
      <w:pPr>
        <w:pStyle w:val="NormalWeb"/>
      </w:pPr>
      <w:r>
        <w:t>La universidad corporativa de PwC incorporó cursos específicos sobre procesos de innovación.</w:t>
      </w:r>
    </w:p>
    <w:p w14:paraId="7F2D10A8" w14:textId="77777777" w:rsidR="001735F9" w:rsidRDefault="001735F9" w:rsidP="001735F9">
      <w:pPr>
        <w:pStyle w:val="NormalWeb"/>
      </w:pPr>
      <w:r>
        <w:lastRenderedPageBreak/>
        <w:t>Programas como i-</w:t>
      </w:r>
      <w:proofErr w:type="spellStart"/>
      <w:r>
        <w:t>challenge</w:t>
      </w:r>
      <w:proofErr w:type="spellEnd"/>
      <w:r>
        <w:t xml:space="preserve">: formación en creatividad + competencia por resolver retos reales, dirigido especialmente a nuevos ingresos ("new </w:t>
      </w:r>
      <w:proofErr w:type="spellStart"/>
      <w:r>
        <w:t>joiners</w:t>
      </w:r>
      <w:proofErr w:type="spellEnd"/>
      <w:r>
        <w:t>").</w:t>
      </w:r>
    </w:p>
    <w:p w14:paraId="7EE4EDCB" w14:textId="77777777" w:rsidR="001735F9" w:rsidRPr="001735F9" w:rsidRDefault="001735F9" w:rsidP="001735F9">
      <w:pPr>
        <w:pStyle w:val="NormalWeb"/>
        <w:numPr>
          <w:ilvl w:val="0"/>
          <w:numId w:val="9"/>
        </w:numPr>
        <w:rPr>
          <w:b/>
          <w:bCs/>
        </w:rPr>
      </w:pPr>
      <w:r w:rsidRPr="001735F9">
        <w:rPr>
          <w:b/>
          <w:bCs/>
        </w:rPr>
        <w:t xml:space="preserve">Cultura y comportamientos (PwC </w:t>
      </w:r>
      <w:proofErr w:type="spellStart"/>
      <w:r w:rsidRPr="001735F9">
        <w:rPr>
          <w:b/>
          <w:bCs/>
        </w:rPr>
        <w:t>Experience</w:t>
      </w:r>
      <w:proofErr w:type="spellEnd"/>
      <w:r w:rsidRPr="001735F9">
        <w:rPr>
          <w:b/>
          <w:bCs/>
        </w:rPr>
        <w:t>):</w:t>
      </w:r>
    </w:p>
    <w:p w14:paraId="2F839330" w14:textId="77777777" w:rsidR="001735F9" w:rsidRDefault="001735F9" w:rsidP="001735F9">
      <w:pPr>
        <w:pStyle w:val="NormalWeb"/>
      </w:pPr>
      <w:r>
        <w:t>Iniciativa para desarrollar una nueva cultura de trabajo centrada en:</w:t>
      </w:r>
    </w:p>
    <w:p w14:paraId="65B25773" w14:textId="77777777" w:rsidR="001735F9" w:rsidRDefault="001735F9" w:rsidP="001735F9">
      <w:pPr>
        <w:pStyle w:val="NormalWeb"/>
        <w:numPr>
          <w:ilvl w:val="0"/>
          <w:numId w:val="11"/>
        </w:numPr>
      </w:pPr>
      <w:r>
        <w:t>Ponerse en el lugar del otro (cliente/colega)</w:t>
      </w:r>
    </w:p>
    <w:p w14:paraId="3A9433BC" w14:textId="77777777" w:rsidR="001735F9" w:rsidRDefault="001735F9" w:rsidP="001735F9">
      <w:pPr>
        <w:pStyle w:val="NormalWeb"/>
        <w:numPr>
          <w:ilvl w:val="0"/>
          <w:numId w:val="11"/>
        </w:numPr>
      </w:pPr>
      <w:r>
        <w:t>Compartir y colaborar</w:t>
      </w:r>
    </w:p>
    <w:p w14:paraId="5CCF9CC3" w14:textId="21E3C89F" w:rsidR="001735F9" w:rsidRDefault="001735F9" w:rsidP="001735F9">
      <w:pPr>
        <w:pStyle w:val="NormalWeb"/>
        <w:numPr>
          <w:ilvl w:val="0"/>
          <w:numId w:val="11"/>
        </w:numPr>
      </w:pPr>
      <w:r>
        <w:t>Dedicar tiempo a fomentar relaciones</w:t>
      </w:r>
    </w:p>
    <w:p w14:paraId="23BDC666" w14:textId="099CA58D" w:rsidR="001735F9" w:rsidRPr="001735F9" w:rsidRDefault="001735F9" w:rsidP="001735F9">
      <w:pPr>
        <w:pStyle w:val="NormalWeb"/>
        <w:numPr>
          <w:ilvl w:val="0"/>
          <w:numId w:val="10"/>
        </w:numPr>
        <w:rPr>
          <w:b/>
          <w:bCs/>
        </w:rPr>
      </w:pPr>
      <w:r w:rsidRPr="001735F9">
        <w:rPr>
          <w:b/>
          <w:bCs/>
        </w:rPr>
        <w:t>Aporte personal</w:t>
      </w:r>
    </w:p>
    <w:p w14:paraId="4270FD90" w14:textId="77777777" w:rsidR="001735F9" w:rsidRDefault="001735F9" w:rsidP="001735F9">
      <w:pPr>
        <w:pStyle w:val="NormalWeb"/>
        <w:jc w:val="both"/>
      </w:pPr>
      <w:r>
        <w:t>La innovación no surge de manera espontánea; es el resultado de un entorno organizacional que estimula la creatividad, la experimentación y el aprendizaje continuo. En este contexto, el área de Talento Humano cumple un rol estratégico, ya que es responsable de diseñar prácticas y políticas que favorezcan una cultura orientada a la innovación.</w:t>
      </w:r>
    </w:p>
    <w:p w14:paraId="03BC543C" w14:textId="77777777" w:rsidR="001735F9" w:rsidRDefault="001735F9" w:rsidP="001735F9">
      <w:pPr>
        <w:pStyle w:val="NormalWeb"/>
        <w:jc w:val="both"/>
      </w:pPr>
      <w:r>
        <w:t xml:space="preserve">En primer lugar, Talento Humano debe promover un liderazgo que estimule la generación de ideas y la participación activa. Según Teresa </w:t>
      </w:r>
      <w:proofErr w:type="spellStart"/>
      <w:r>
        <w:t>Amabile</w:t>
      </w:r>
      <w:proofErr w:type="spellEnd"/>
      <w:r>
        <w:t xml:space="preserve"> (1996), la creatividad en las organizaciones depende en gran medida del clima laboral, la motivación intrínseca y el apoyo percibido por parte de los líderes. Por ello, es fundamental formar a los directivos en estilos de liderazgo que fomenten la autonomía, reconozcan las iniciativas y toleren el error como parte del proceso de aprendizaje.</w:t>
      </w:r>
    </w:p>
    <w:p w14:paraId="6AF829E2" w14:textId="77777777" w:rsidR="001735F9" w:rsidRDefault="001735F9" w:rsidP="001735F9">
      <w:pPr>
        <w:pStyle w:val="NormalWeb"/>
        <w:jc w:val="both"/>
      </w:pPr>
      <w:r>
        <w:t>En segundo lugar, el área debe diseñar sistemas de gestión del desempeño y reconocimiento que valoren no solo los resultados, sino también la generación de propuestas innovadoras. De acuerdo con Peter F. Drucker (2002), la innovación sistemática requiere estructuras organizacionales que incentiven la búsqueda constante de oportunidades y la mejora continua. Esto implica incorporar indicadores relacionados con creatividad, mejora de procesos y aprendizaje organizacional.</w:t>
      </w:r>
    </w:p>
    <w:p w14:paraId="4D6BA3C2" w14:textId="77777777" w:rsidR="001735F9" w:rsidRDefault="001735F9" w:rsidP="001735F9">
      <w:pPr>
        <w:pStyle w:val="NormalWeb"/>
        <w:jc w:val="both"/>
      </w:pPr>
      <w:r>
        <w:t xml:space="preserve">Asimismo, Talento Humano debe impulsar programas de capacitación y desarrollo orientados al pensamiento creativo, la resolución de problemas y el trabajo colaborativo. En esta línea, Edgar H. </w:t>
      </w:r>
      <w:proofErr w:type="spellStart"/>
      <w:r>
        <w:t>Schein</w:t>
      </w:r>
      <w:proofErr w:type="spellEnd"/>
      <w:r>
        <w:t xml:space="preserve"> (2010) sostiene que la cultura organizacional se transforma cuando se modifican los supuestos compartidos y se fortalecen nuevas formas de interacción. Por tanto, fomentar la innovación requiere crear espacios seguros donde los colaboradores puedan expresar ideas sin temor a la crítica o sanción.</w:t>
      </w:r>
    </w:p>
    <w:p w14:paraId="35762F9B" w14:textId="77777777" w:rsidR="001735F9" w:rsidRDefault="001735F9" w:rsidP="001735F9">
      <w:pPr>
        <w:pStyle w:val="NormalWeb"/>
        <w:jc w:val="both"/>
      </w:pPr>
      <w:r>
        <w:t xml:space="preserve">Finalmente, es clave fortalecer procesos de comunicación interna que faciliten el intercambio de conocimientos y la </w:t>
      </w:r>
      <w:proofErr w:type="spellStart"/>
      <w:r>
        <w:t>co-creación</w:t>
      </w:r>
      <w:proofErr w:type="spellEnd"/>
      <w:r>
        <w:t xml:space="preserve"> entre áreas. La innovación es un fenómeno colectivo, no individual; surge cuando la organización integra diversidad de perspectivas y promueve el aprendizaje continuo.</w:t>
      </w:r>
    </w:p>
    <w:p w14:paraId="120D16E4" w14:textId="77777777" w:rsidR="001735F9" w:rsidRDefault="001735F9" w:rsidP="001735F9">
      <w:pPr>
        <w:pStyle w:val="NormalWeb"/>
        <w:jc w:val="both"/>
      </w:pPr>
      <w:r>
        <w:t xml:space="preserve">En conclusión, el área de Talento Humano debe asumir un rol estratégico en la construcción de una cultura innovadora mediante el desarrollo de liderazgo creativo, sistemas de reconocimiento adecuados, capacitación constante y un clima organizacional que favorezca la experimentación. </w:t>
      </w:r>
      <w:r>
        <w:lastRenderedPageBreak/>
        <w:t>Solo así la innovación dejará de ser un discurso y se convertirá en una práctica sostenible dentro de la empresa.</w:t>
      </w:r>
    </w:p>
    <w:p w14:paraId="1B33EA8B" w14:textId="77777777" w:rsidR="001735F9" w:rsidRPr="001735F9" w:rsidRDefault="001735F9" w:rsidP="001735F9">
      <w:pPr>
        <w:pStyle w:val="NormalWeb"/>
        <w:rPr>
          <w:b/>
          <w:bCs/>
        </w:rPr>
      </w:pPr>
      <w:r w:rsidRPr="001735F9">
        <w:rPr>
          <w:b/>
          <w:bCs/>
        </w:rPr>
        <w:t>Bibliografía</w:t>
      </w:r>
    </w:p>
    <w:p w14:paraId="31B99570" w14:textId="77777777" w:rsidR="001735F9" w:rsidRDefault="001735F9" w:rsidP="001735F9">
      <w:pPr>
        <w:pStyle w:val="NormalWeb"/>
      </w:pPr>
      <w:proofErr w:type="spellStart"/>
      <w:r>
        <w:t>Amabile</w:t>
      </w:r>
      <w:proofErr w:type="spellEnd"/>
      <w:r>
        <w:t xml:space="preserve">, T. M. (1996). </w:t>
      </w:r>
      <w:proofErr w:type="spellStart"/>
      <w:r>
        <w:t>Creativity</w:t>
      </w:r>
      <w:proofErr w:type="spellEnd"/>
      <w:r>
        <w:t xml:space="preserve"> in </w:t>
      </w:r>
      <w:proofErr w:type="spellStart"/>
      <w:r>
        <w:t>Context</w:t>
      </w:r>
      <w:proofErr w:type="spellEnd"/>
      <w:r>
        <w:t xml:space="preserve">. </w:t>
      </w:r>
      <w:proofErr w:type="spellStart"/>
      <w:r>
        <w:t>Westview</w:t>
      </w:r>
      <w:proofErr w:type="spellEnd"/>
      <w:r>
        <w:t xml:space="preserve"> </w:t>
      </w:r>
      <w:proofErr w:type="spellStart"/>
      <w:r>
        <w:t>Press</w:t>
      </w:r>
      <w:proofErr w:type="spellEnd"/>
      <w:r>
        <w:t>.</w:t>
      </w:r>
    </w:p>
    <w:p w14:paraId="37A6B358" w14:textId="77777777" w:rsidR="001735F9" w:rsidRDefault="001735F9" w:rsidP="001735F9">
      <w:pPr>
        <w:pStyle w:val="NormalWeb"/>
      </w:pPr>
      <w:r>
        <w:t xml:space="preserve">Drucker, P. F. (2002). </w:t>
      </w:r>
      <w:proofErr w:type="spellStart"/>
      <w:r>
        <w:t>The</w:t>
      </w:r>
      <w:proofErr w:type="spellEnd"/>
      <w:r>
        <w:t xml:space="preserve"> Discipline </w:t>
      </w:r>
      <w:proofErr w:type="spellStart"/>
      <w:r>
        <w:t>of</w:t>
      </w:r>
      <w:proofErr w:type="spellEnd"/>
      <w:r>
        <w:t xml:space="preserve"> </w:t>
      </w:r>
      <w:proofErr w:type="spellStart"/>
      <w:r>
        <w:t>Innovation</w:t>
      </w:r>
      <w:proofErr w:type="spellEnd"/>
      <w:r>
        <w:t xml:space="preserve">. Harvard Business </w:t>
      </w:r>
      <w:proofErr w:type="spellStart"/>
      <w:r>
        <w:t>Review</w:t>
      </w:r>
      <w:proofErr w:type="spellEnd"/>
      <w:r>
        <w:t>.</w:t>
      </w:r>
    </w:p>
    <w:p w14:paraId="113AFFA7" w14:textId="77777777" w:rsidR="001735F9" w:rsidRDefault="001735F9" w:rsidP="001735F9">
      <w:pPr>
        <w:pStyle w:val="NormalWeb"/>
      </w:pPr>
      <w:proofErr w:type="spellStart"/>
      <w:r>
        <w:t>Schein</w:t>
      </w:r>
      <w:proofErr w:type="spellEnd"/>
      <w:r>
        <w:t xml:space="preserve">, E. H. (2010). </w:t>
      </w:r>
      <w:proofErr w:type="spellStart"/>
      <w:r>
        <w:t>Organizational</w:t>
      </w:r>
      <w:proofErr w:type="spellEnd"/>
      <w:r>
        <w:t xml:space="preserve"> Culture and </w:t>
      </w:r>
      <w:proofErr w:type="spellStart"/>
      <w:r>
        <w:t>Leadership</w:t>
      </w:r>
      <w:proofErr w:type="spellEnd"/>
      <w:r>
        <w:t xml:space="preserve"> (4th ed.). </w:t>
      </w:r>
      <w:proofErr w:type="spellStart"/>
      <w:r>
        <w:t>Jossey</w:t>
      </w:r>
      <w:proofErr w:type="spellEnd"/>
      <w:r>
        <w:t>-Bass.</w:t>
      </w:r>
    </w:p>
    <w:p w14:paraId="0BF6CF07" w14:textId="77777777" w:rsidR="007A791E" w:rsidRPr="007A791E" w:rsidRDefault="007A791E" w:rsidP="001735F9">
      <w:pPr>
        <w:jc w:val="both"/>
        <w:rPr>
          <w:rFonts w:ascii="Times New Roman" w:hAnsi="Times New Roman" w:cs="Times New Roman"/>
          <w:b/>
          <w:bCs/>
          <w:sz w:val="24"/>
          <w:szCs w:val="24"/>
        </w:rPr>
      </w:pPr>
    </w:p>
    <w:sectPr w:rsidR="007A791E" w:rsidRPr="007A791E" w:rsidSect="00B376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EED"/>
    <w:multiLevelType w:val="multilevel"/>
    <w:tmpl w:val="7E10B2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524C6"/>
    <w:multiLevelType w:val="multilevel"/>
    <w:tmpl w:val="DDB60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05A19"/>
    <w:multiLevelType w:val="hybridMultilevel"/>
    <w:tmpl w:val="5D04E9A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99E2EDC"/>
    <w:multiLevelType w:val="hybridMultilevel"/>
    <w:tmpl w:val="3BD016C2"/>
    <w:lvl w:ilvl="0" w:tplc="300A0001">
      <w:start w:val="1"/>
      <w:numFmt w:val="bullet"/>
      <w:lvlText w:val=""/>
      <w:lvlJc w:val="left"/>
      <w:pPr>
        <w:ind w:left="720" w:hanging="360"/>
      </w:pPr>
      <w:rPr>
        <w:rFonts w:ascii="Symbol" w:hAnsi="Symbol" w:hint="default"/>
      </w:rPr>
    </w:lvl>
    <w:lvl w:ilvl="1" w:tplc="4E0EE26E">
      <w:numFmt w:val="bullet"/>
      <w:lvlText w:val="-"/>
      <w:lvlJc w:val="left"/>
      <w:pPr>
        <w:ind w:left="1440" w:hanging="360"/>
      </w:pPr>
      <w:rPr>
        <w:rFonts w:ascii="Times New Roman" w:eastAsiaTheme="minorHAnsi" w:hAnsi="Times New Roman" w:cs="Times New Roman"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E632920"/>
    <w:multiLevelType w:val="hybridMultilevel"/>
    <w:tmpl w:val="E170165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94A3624"/>
    <w:multiLevelType w:val="hybridMultilevel"/>
    <w:tmpl w:val="6F5A47EA"/>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36B4E67"/>
    <w:multiLevelType w:val="multilevel"/>
    <w:tmpl w:val="2F52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094D7C"/>
    <w:multiLevelType w:val="hybridMultilevel"/>
    <w:tmpl w:val="BEB00306"/>
    <w:lvl w:ilvl="0" w:tplc="300A000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0FD4DBC"/>
    <w:multiLevelType w:val="hybridMultilevel"/>
    <w:tmpl w:val="D1C0304E"/>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59874795"/>
    <w:multiLevelType w:val="hybridMultilevel"/>
    <w:tmpl w:val="B850636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5A46099D"/>
    <w:multiLevelType w:val="hybridMultilevel"/>
    <w:tmpl w:val="E6F87F78"/>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5A483AA8"/>
    <w:multiLevelType w:val="hybridMultilevel"/>
    <w:tmpl w:val="01160D1E"/>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6AE102F6"/>
    <w:multiLevelType w:val="hybridMultilevel"/>
    <w:tmpl w:val="A08EE12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70FB1707"/>
    <w:multiLevelType w:val="hybridMultilevel"/>
    <w:tmpl w:val="1C180FE4"/>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79310DD4"/>
    <w:multiLevelType w:val="hybridMultilevel"/>
    <w:tmpl w:val="6AEC55DA"/>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7A24173D"/>
    <w:multiLevelType w:val="multilevel"/>
    <w:tmpl w:val="7878FB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86474B"/>
    <w:multiLevelType w:val="multilevel"/>
    <w:tmpl w:val="8FDC4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2E268D"/>
    <w:multiLevelType w:val="multilevel"/>
    <w:tmpl w:val="2D8C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EE6188"/>
    <w:multiLevelType w:val="hybridMultilevel"/>
    <w:tmpl w:val="E66419D4"/>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6"/>
  </w:num>
  <w:num w:numId="5">
    <w:abstractNumId w:val="17"/>
  </w:num>
  <w:num w:numId="6">
    <w:abstractNumId w:val="16"/>
  </w:num>
  <w:num w:numId="7">
    <w:abstractNumId w:val="1"/>
  </w:num>
  <w:num w:numId="8">
    <w:abstractNumId w:val="15"/>
  </w:num>
  <w:num w:numId="9">
    <w:abstractNumId w:val="0"/>
  </w:num>
  <w:num w:numId="10">
    <w:abstractNumId w:val="9"/>
  </w:num>
  <w:num w:numId="11">
    <w:abstractNumId w:val="5"/>
  </w:num>
  <w:num w:numId="12">
    <w:abstractNumId w:val="10"/>
  </w:num>
  <w:num w:numId="13">
    <w:abstractNumId w:val="14"/>
  </w:num>
  <w:num w:numId="14">
    <w:abstractNumId w:val="13"/>
  </w:num>
  <w:num w:numId="15">
    <w:abstractNumId w:val="18"/>
  </w:num>
  <w:num w:numId="16">
    <w:abstractNumId w:val="4"/>
  </w:num>
  <w:num w:numId="17">
    <w:abstractNumId w:val="11"/>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18"/>
    <w:rsid w:val="001735F9"/>
    <w:rsid w:val="004E5E39"/>
    <w:rsid w:val="00593118"/>
    <w:rsid w:val="006F5B36"/>
    <w:rsid w:val="007A791E"/>
    <w:rsid w:val="00952B4F"/>
    <w:rsid w:val="00B3762A"/>
    <w:rsid w:val="00B95F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D274"/>
  <w15:chartTrackingRefBased/>
  <w15:docId w15:val="{C2E91A57-D3A2-495C-B46F-F24F6518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118"/>
  </w:style>
  <w:style w:type="paragraph" w:styleId="Ttulo1">
    <w:name w:val="heading 1"/>
    <w:basedOn w:val="Normal"/>
    <w:next w:val="Normal"/>
    <w:link w:val="Ttulo1Car"/>
    <w:uiPriority w:val="9"/>
    <w:qFormat/>
    <w:rsid w:val="005931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931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931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931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931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931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31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31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311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311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9311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9311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9311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9311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931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931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931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93118"/>
    <w:rPr>
      <w:rFonts w:eastAsiaTheme="majorEastAsia" w:cstheme="majorBidi"/>
      <w:color w:val="272727" w:themeColor="text1" w:themeTint="D8"/>
    </w:rPr>
  </w:style>
  <w:style w:type="paragraph" w:styleId="Ttulo">
    <w:name w:val="Title"/>
    <w:basedOn w:val="Normal"/>
    <w:next w:val="Normal"/>
    <w:link w:val="TtuloCar"/>
    <w:uiPriority w:val="10"/>
    <w:qFormat/>
    <w:rsid w:val="00593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31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9311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931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93118"/>
    <w:pPr>
      <w:spacing w:before="160"/>
      <w:jc w:val="center"/>
    </w:pPr>
    <w:rPr>
      <w:i/>
      <w:iCs/>
      <w:color w:val="404040" w:themeColor="text1" w:themeTint="BF"/>
    </w:rPr>
  </w:style>
  <w:style w:type="character" w:customStyle="1" w:styleId="CitaCar">
    <w:name w:val="Cita Car"/>
    <w:basedOn w:val="Fuentedeprrafopredeter"/>
    <w:link w:val="Cita"/>
    <w:uiPriority w:val="29"/>
    <w:rsid w:val="00593118"/>
    <w:rPr>
      <w:i/>
      <w:iCs/>
      <w:color w:val="404040" w:themeColor="text1" w:themeTint="BF"/>
    </w:rPr>
  </w:style>
  <w:style w:type="paragraph" w:styleId="Prrafodelista">
    <w:name w:val="List Paragraph"/>
    <w:basedOn w:val="Normal"/>
    <w:uiPriority w:val="34"/>
    <w:qFormat/>
    <w:rsid w:val="00593118"/>
    <w:pPr>
      <w:ind w:left="720"/>
      <w:contextualSpacing/>
    </w:pPr>
  </w:style>
  <w:style w:type="character" w:styleId="nfasisintenso">
    <w:name w:val="Intense Emphasis"/>
    <w:basedOn w:val="Fuentedeprrafopredeter"/>
    <w:uiPriority w:val="21"/>
    <w:qFormat/>
    <w:rsid w:val="00593118"/>
    <w:rPr>
      <w:i/>
      <w:iCs/>
      <w:color w:val="2F5496" w:themeColor="accent1" w:themeShade="BF"/>
    </w:rPr>
  </w:style>
  <w:style w:type="paragraph" w:styleId="Citadestacada">
    <w:name w:val="Intense Quote"/>
    <w:basedOn w:val="Normal"/>
    <w:next w:val="Normal"/>
    <w:link w:val="CitadestacadaCar"/>
    <w:uiPriority w:val="30"/>
    <w:qFormat/>
    <w:rsid w:val="005931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93118"/>
    <w:rPr>
      <w:i/>
      <w:iCs/>
      <w:color w:val="2F5496" w:themeColor="accent1" w:themeShade="BF"/>
    </w:rPr>
  </w:style>
  <w:style w:type="character" w:styleId="Referenciaintensa">
    <w:name w:val="Intense Reference"/>
    <w:basedOn w:val="Fuentedeprrafopredeter"/>
    <w:uiPriority w:val="32"/>
    <w:qFormat/>
    <w:rsid w:val="00593118"/>
    <w:rPr>
      <w:b/>
      <w:bCs/>
      <w:smallCaps/>
      <w:color w:val="2F5496" w:themeColor="accent1" w:themeShade="BF"/>
      <w:spacing w:val="5"/>
    </w:rPr>
  </w:style>
  <w:style w:type="paragraph" w:styleId="NormalWeb">
    <w:name w:val="Normal (Web)"/>
    <w:basedOn w:val="Normal"/>
    <w:uiPriority w:val="99"/>
    <w:semiHidden/>
    <w:unhideWhenUsed/>
    <w:rsid w:val="001735F9"/>
    <w:pPr>
      <w:spacing w:before="100" w:beforeAutospacing="1" w:after="100" w:afterAutospacing="1" w:line="240" w:lineRule="auto"/>
    </w:pPr>
    <w:rPr>
      <w:rFonts w:ascii="Times New Roman" w:eastAsia="Times New Roman" w:hAnsi="Times New Roman" w:cs="Times New Roman"/>
      <w:kern w:val="0"/>
      <w:sz w:val="24"/>
      <w:szCs w:val="24"/>
      <w:lang w:eastAsia="es-EC"/>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6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1359</Words>
  <Characters>7478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Salas</dc:creator>
  <cp:keywords/>
  <dc:description/>
  <cp:lastModifiedBy>STEPHANIE NATHALY</cp:lastModifiedBy>
  <cp:revision>2</cp:revision>
  <dcterms:created xsi:type="dcterms:W3CDTF">2026-02-26T01:02:00Z</dcterms:created>
  <dcterms:modified xsi:type="dcterms:W3CDTF">2026-02-26T15:05:00Z</dcterms:modified>
</cp:coreProperties>
</file>