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C023" w14:textId="509B8C70" w:rsidR="006774AC" w:rsidRPr="006774AC" w:rsidRDefault="006774AC" w:rsidP="006774AC">
      <w:pPr>
        <w:jc w:val="center"/>
        <w:rPr>
          <w:rFonts w:ascii="Century Gothic" w:hAnsi="Century Gothic"/>
          <w:b/>
          <w:bCs/>
        </w:rPr>
      </w:pPr>
      <w:r w:rsidRPr="006774AC">
        <w:rPr>
          <w:rFonts w:ascii="Century Gothic" w:hAnsi="Century Gothic"/>
          <w:b/>
          <w:bCs/>
        </w:rPr>
        <w:t>Transformación organizacional, analítica de datos y desafíos éticos de los sistemas de información en la Cuarta Revolución Industrial</w:t>
      </w:r>
    </w:p>
    <w:p w14:paraId="3E1E9B3C" w14:textId="02061F17" w:rsidR="006774AC" w:rsidRPr="006774AC" w:rsidRDefault="006774AC" w:rsidP="006774AC">
      <w:pPr>
        <w:jc w:val="both"/>
        <w:rPr>
          <w:rFonts w:ascii="Century Gothic" w:hAnsi="Century Gothic"/>
        </w:rPr>
      </w:pPr>
      <w:r w:rsidRPr="006774AC">
        <w:rPr>
          <w:rFonts w:ascii="Century Gothic" w:hAnsi="Century Gothic"/>
        </w:rPr>
        <w:t xml:space="preserve">En el marco de la Cuarta Revolución Industrial, los sistemas de información (SI) desempeñan un papel fundamental en la transformación de la dinámica empresarial e institucional. La convergencia de tecnologías como la analítica avanzada, la inteligencia artificial, el Big Data y la computación en la nube ha permitido que las organizaciones evolucionen hacia modelos más digitales, ágiles y orientados a la toma de decisiones basada en datos. </w:t>
      </w:r>
    </w:p>
    <w:p w14:paraId="37363459" w14:textId="5981A2B1" w:rsidR="006774AC" w:rsidRPr="006774AC" w:rsidRDefault="006774AC" w:rsidP="006774AC">
      <w:pPr>
        <w:ind w:left="708"/>
        <w:jc w:val="both"/>
        <w:rPr>
          <w:rFonts w:ascii="Century Gothic" w:hAnsi="Century Gothic"/>
        </w:rPr>
      </w:pPr>
      <w:r w:rsidRPr="006774AC">
        <w:rPr>
          <w:rFonts w:ascii="Century Gothic" w:hAnsi="Century Gothic"/>
          <w:b/>
          <w:bCs/>
        </w:rPr>
        <w:t>Transformación de la dinámica empresarial e institucional</w:t>
      </w:r>
      <w:r w:rsidRPr="006774AC">
        <w:rPr>
          <w:rFonts w:ascii="Century Gothic" w:hAnsi="Century Gothic"/>
        </w:rPr>
        <w:br/>
        <w:t xml:space="preserve">Los sistemas de información están redefiniendo los procesos organizacionales al integrar información en tiempo real y automatizar actividades críticas. En el </w:t>
      </w:r>
      <w:r w:rsidRPr="006774AC">
        <w:rPr>
          <w:rFonts w:ascii="Century Gothic" w:hAnsi="Century Gothic"/>
          <w:b/>
          <w:bCs/>
        </w:rPr>
        <w:t>sector salud</w:t>
      </w:r>
      <w:r w:rsidRPr="006774AC">
        <w:rPr>
          <w:rFonts w:ascii="Century Gothic" w:hAnsi="Century Gothic"/>
        </w:rPr>
        <w:t xml:space="preserve">, por ejemplo, la adopción de sistemas de información clínicos y plataformas de salud digital ha permitido mejorar la gestión de datos de pacientes, optimizar recursos hospitalarios y apoyar decisiones médicas mediante análisis predictivo. </w:t>
      </w:r>
      <w:sdt>
        <w:sdtPr>
          <w:rPr>
            <w:rFonts w:ascii="Century Gothic" w:hAnsi="Century Gothic"/>
          </w:rPr>
          <w:id w:val="27378545"/>
          <w:citation/>
        </w:sdtPr>
        <w:sdtContent>
          <w:r>
            <w:rPr>
              <w:rFonts w:ascii="Century Gothic" w:hAnsi="Century Gothic"/>
            </w:rPr>
            <w:fldChar w:fldCharType="begin"/>
          </w:r>
          <w:r>
            <w:rPr>
              <w:rFonts w:ascii="Century Gothic" w:hAnsi="Century Gothic"/>
              <w:lang w:val="es-ES"/>
            </w:rPr>
            <w:instrText xml:space="preserve">CITATION Wor21 \l 3082 </w:instrText>
          </w:r>
          <w:r>
            <w:rPr>
              <w:rFonts w:ascii="Century Gothic" w:hAnsi="Century Gothic"/>
            </w:rPr>
            <w:fldChar w:fldCharType="separate"/>
          </w:r>
          <w:r w:rsidRPr="006774AC">
            <w:rPr>
              <w:rFonts w:ascii="Century Gothic" w:hAnsi="Century Gothic"/>
              <w:noProof/>
              <w:lang w:val="es-ES"/>
            </w:rPr>
            <w:t>(Health, 2021)</w:t>
          </w:r>
          <w:r>
            <w:rPr>
              <w:rFonts w:ascii="Century Gothic" w:hAnsi="Century Gothic"/>
            </w:rPr>
            <w:fldChar w:fldCharType="end"/>
          </w:r>
        </w:sdtContent>
      </w:sdt>
      <w:r>
        <w:rPr>
          <w:rFonts w:ascii="Century Gothic" w:hAnsi="Century Gothic"/>
        </w:rPr>
        <w:t xml:space="preserve"> </w:t>
      </w:r>
      <w:r w:rsidRPr="006774AC">
        <w:rPr>
          <w:rFonts w:ascii="Century Gothic" w:hAnsi="Century Gothic"/>
        </w:rPr>
        <w:t>destaca que los sistemas de información digitales fortalecen la atención sanitaria al mejorar la calidad del servicio, la trazabilidad de la información y la capacidad de respuesta de las instituciones de salud.</w:t>
      </w:r>
    </w:p>
    <w:p w14:paraId="35831539" w14:textId="421F503B" w:rsidR="006774AC" w:rsidRPr="006774AC" w:rsidRDefault="006774AC" w:rsidP="006774AC">
      <w:pPr>
        <w:ind w:left="708"/>
        <w:jc w:val="both"/>
        <w:rPr>
          <w:rFonts w:ascii="Century Gothic" w:hAnsi="Century Gothic"/>
        </w:rPr>
      </w:pPr>
      <w:r w:rsidRPr="006774AC">
        <w:rPr>
          <w:rFonts w:ascii="Century Gothic" w:hAnsi="Century Gothic"/>
          <w:b/>
          <w:bCs/>
        </w:rPr>
        <w:t>Dato, información y conocimiento en entornos digitales</w:t>
      </w:r>
      <w:r w:rsidRPr="006774AC">
        <w:rPr>
          <w:rFonts w:ascii="Century Gothic" w:hAnsi="Century Gothic"/>
        </w:rPr>
        <w:br/>
        <w:t xml:space="preserve">En un entorno digital automatizado, el </w:t>
      </w:r>
      <w:r w:rsidRPr="006774AC">
        <w:rPr>
          <w:rFonts w:ascii="Century Gothic" w:hAnsi="Century Gothic"/>
          <w:b/>
          <w:bCs/>
        </w:rPr>
        <w:t>dato</w:t>
      </w:r>
      <w:r w:rsidRPr="006774AC">
        <w:rPr>
          <w:rFonts w:ascii="Century Gothic" w:hAnsi="Century Gothic"/>
        </w:rPr>
        <w:t xml:space="preserve"> corresponde a registros aislados sin contexto (por ejemplo, resultados de exámenes médicos), la </w:t>
      </w:r>
      <w:r w:rsidRPr="006774AC">
        <w:rPr>
          <w:rFonts w:ascii="Century Gothic" w:hAnsi="Century Gothic"/>
          <w:b/>
          <w:bCs/>
        </w:rPr>
        <w:t>información</w:t>
      </w:r>
      <w:r w:rsidRPr="006774AC">
        <w:rPr>
          <w:rFonts w:ascii="Century Gothic" w:hAnsi="Century Gothic"/>
        </w:rPr>
        <w:t xml:space="preserve"> surge cuando esos datos son procesados y organizados, y el </w:t>
      </w:r>
      <w:r w:rsidRPr="006774AC">
        <w:rPr>
          <w:rFonts w:ascii="Century Gothic" w:hAnsi="Century Gothic"/>
          <w:b/>
          <w:bCs/>
        </w:rPr>
        <w:t>conocimiento</w:t>
      </w:r>
      <w:r w:rsidRPr="006774AC">
        <w:rPr>
          <w:rFonts w:ascii="Century Gothic" w:hAnsi="Century Gothic"/>
        </w:rPr>
        <w:t xml:space="preserve"> se genera cuando la información es analizada e interpretada para apoyar la toma de decisiones. Esta distinción es crucial en la analítica de datos, ya que disponer de grandes volúmenes de datos no garantiza mejores decisiones. De acuerdo con </w:t>
      </w:r>
      <w:sdt>
        <w:sdtPr>
          <w:rPr>
            <w:rFonts w:ascii="Century Gothic" w:hAnsi="Century Gothic"/>
          </w:rPr>
          <w:id w:val="1153566800"/>
          <w:citation/>
        </w:sdtPr>
        <w:sdtContent>
          <w:r>
            <w:rPr>
              <w:rFonts w:ascii="Century Gothic" w:hAnsi="Century Gothic"/>
            </w:rPr>
            <w:fldChar w:fldCharType="begin"/>
          </w:r>
          <w:r>
            <w:rPr>
              <w:rFonts w:ascii="Century Gothic" w:hAnsi="Century Gothic"/>
              <w:lang w:val="es-ES"/>
            </w:rPr>
            <w:instrText xml:space="preserve">CITATION McK21 \l 3082 </w:instrText>
          </w:r>
          <w:r>
            <w:rPr>
              <w:rFonts w:ascii="Century Gothic" w:hAnsi="Century Gothic"/>
            </w:rPr>
            <w:fldChar w:fldCharType="separate"/>
          </w:r>
          <w:r w:rsidRPr="006774AC">
            <w:rPr>
              <w:rFonts w:ascii="Century Gothic" w:hAnsi="Century Gothic"/>
              <w:noProof/>
              <w:lang w:val="es-ES"/>
            </w:rPr>
            <w:t>(McKinsey, 2021)</w:t>
          </w:r>
          <w:r>
            <w:rPr>
              <w:rFonts w:ascii="Century Gothic" w:hAnsi="Century Gothic"/>
            </w:rPr>
            <w:fldChar w:fldCharType="end"/>
          </w:r>
        </w:sdtContent>
      </w:sdt>
      <w:r>
        <w:rPr>
          <w:rFonts w:ascii="Century Gothic" w:hAnsi="Century Gothic"/>
        </w:rPr>
        <w:t>,</w:t>
      </w:r>
      <w:r w:rsidRPr="006774AC">
        <w:rPr>
          <w:rFonts w:ascii="Century Gothic" w:hAnsi="Century Gothic"/>
        </w:rPr>
        <w:t>las organizaciones verdaderamente orientadas a los datos son aquellas que transforman la información en conocimiento accionable, permitiendo anticipar escenarios y reducir la incertidumbre estratégica.</w:t>
      </w:r>
    </w:p>
    <w:p w14:paraId="00D1EBDA" w14:textId="7C0909D7" w:rsidR="006774AC" w:rsidRPr="006774AC" w:rsidRDefault="006774AC" w:rsidP="006774AC">
      <w:pPr>
        <w:ind w:left="708"/>
        <w:jc w:val="both"/>
        <w:rPr>
          <w:rFonts w:ascii="Century Gothic" w:hAnsi="Century Gothic"/>
        </w:rPr>
      </w:pPr>
      <w:r w:rsidRPr="006774AC">
        <w:rPr>
          <w:rFonts w:ascii="Century Gothic" w:hAnsi="Century Gothic"/>
          <w:b/>
          <w:bCs/>
        </w:rPr>
        <w:t>Riesgos éticos del Big Data y buenas prácticas</w:t>
      </w:r>
      <w:r w:rsidRPr="006774AC">
        <w:rPr>
          <w:rFonts w:ascii="Century Gothic" w:hAnsi="Century Gothic"/>
        </w:rPr>
        <w:br/>
        <w:t xml:space="preserve">El uso intensivo de Big Data en sistemas de información modernos plantea importantes riesgos éticos. Entre los más relevantes se encuentran la </w:t>
      </w:r>
      <w:r w:rsidRPr="006774AC">
        <w:rPr>
          <w:rFonts w:ascii="Century Gothic" w:hAnsi="Century Gothic"/>
          <w:b/>
          <w:bCs/>
        </w:rPr>
        <w:t>vulneración de la privacidad</w:t>
      </w:r>
      <w:r w:rsidRPr="006774AC">
        <w:rPr>
          <w:rFonts w:ascii="Century Gothic" w:hAnsi="Century Gothic"/>
        </w:rPr>
        <w:t xml:space="preserve"> y el </w:t>
      </w:r>
      <w:r w:rsidRPr="006774AC">
        <w:rPr>
          <w:rFonts w:ascii="Century Gothic" w:hAnsi="Century Gothic"/>
          <w:b/>
          <w:bCs/>
        </w:rPr>
        <w:t>uso indebido de los datos personales</w:t>
      </w:r>
      <w:r w:rsidRPr="006774AC">
        <w:rPr>
          <w:rFonts w:ascii="Century Gothic" w:hAnsi="Century Gothic"/>
        </w:rPr>
        <w:t>.</w:t>
      </w:r>
      <w:sdt>
        <w:sdtPr>
          <w:rPr>
            <w:rFonts w:ascii="Century Gothic" w:hAnsi="Century Gothic"/>
          </w:rPr>
          <w:id w:val="1388221929"/>
          <w:citation/>
        </w:sdtPr>
        <w:sdtContent>
          <w:r>
            <w:rPr>
              <w:rFonts w:ascii="Century Gothic" w:hAnsi="Century Gothic"/>
            </w:rPr>
            <w:fldChar w:fldCharType="begin"/>
          </w:r>
          <w:r>
            <w:rPr>
              <w:rFonts w:ascii="Century Gothic" w:hAnsi="Century Gothic"/>
              <w:lang w:val="es-ES"/>
            </w:rPr>
            <w:instrText xml:space="preserve">CITATION Org20 \l 3082 </w:instrText>
          </w:r>
          <w:r>
            <w:rPr>
              <w:rFonts w:ascii="Century Gothic" w:hAnsi="Century Gothic"/>
            </w:rPr>
            <w:fldChar w:fldCharType="separate"/>
          </w:r>
          <w:r>
            <w:rPr>
              <w:rFonts w:ascii="Century Gothic" w:hAnsi="Century Gothic"/>
              <w:noProof/>
              <w:lang w:val="es-ES"/>
            </w:rPr>
            <w:t xml:space="preserve"> </w:t>
          </w:r>
          <w:r w:rsidRPr="006774AC">
            <w:rPr>
              <w:rFonts w:ascii="Century Gothic" w:hAnsi="Century Gothic"/>
              <w:noProof/>
              <w:lang w:val="es-ES"/>
            </w:rPr>
            <w:t>(Co-operation, 2020)</w:t>
          </w:r>
          <w:r>
            <w:rPr>
              <w:rFonts w:ascii="Century Gothic" w:hAnsi="Century Gothic"/>
            </w:rPr>
            <w:fldChar w:fldCharType="end"/>
          </w:r>
        </w:sdtContent>
      </w:sdt>
      <w:r w:rsidRPr="006774AC">
        <w:rPr>
          <w:rFonts w:ascii="Century Gothic" w:hAnsi="Century Gothic"/>
        </w:rPr>
        <w:t xml:space="preserve"> advierte que una gobernanza deficiente de los datos puede generar desconfianza </w:t>
      </w:r>
      <w:r w:rsidRPr="006774AC">
        <w:rPr>
          <w:rFonts w:ascii="Century Gothic" w:hAnsi="Century Gothic"/>
        </w:rPr>
        <w:lastRenderedPageBreak/>
        <w:t>social y afectar derechos fundamentales. Para mitigar estos riesgos, se recomienda implementar políticas de gobernanza de datos, garantizar la transparencia en el uso de la información, aplicar principios de protección de la privacidad y promover una cultura organizacional orientada a la ética digital.</w:t>
      </w:r>
    </w:p>
    <w:p w14:paraId="7B9B27F5" w14:textId="2BFB6E9A" w:rsidR="006774AC" w:rsidRDefault="006774AC" w:rsidP="006774AC">
      <w:pPr>
        <w:jc w:val="both"/>
        <w:rPr>
          <w:rFonts w:ascii="Century Gothic" w:hAnsi="Century Gothic"/>
        </w:rPr>
      </w:pPr>
      <w:r w:rsidRPr="006774AC">
        <w:rPr>
          <w:rFonts w:ascii="Century Gothic" w:hAnsi="Century Gothic"/>
        </w:rPr>
        <w:t>En conclusión, los sistemas de información son pilares estratégicos de la transformación digital en la Cuarta Revolución Industrial. Su impacto positivo depende no solo de la tecnología, sino también de una adecuada gestión del conocimiento y de un enfoque ético en el uso de los datos.</w:t>
      </w:r>
    </w:p>
    <w:sdt>
      <w:sdtPr>
        <w:rPr>
          <w:lang w:val="es-ES"/>
        </w:rPr>
        <w:id w:val="222114518"/>
        <w:docPartObj>
          <w:docPartGallery w:val="Bibliographies"/>
          <w:docPartUnique/>
        </w:docPartObj>
      </w:sdtPr>
      <w:sdtEndPr>
        <w:rPr>
          <w:rFonts w:asciiTheme="minorHAnsi" w:eastAsiaTheme="minorHAnsi" w:hAnsiTheme="minorHAnsi" w:cstheme="minorBidi"/>
          <w:color w:val="auto"/>
          <w:sz w:val="24"/>
          <w:szCs w:val="24"/>
          <w:lang w:val="es-EC"/>
        </w:rPr>
      </w:sdtEndPr>
      <w:sdtContent>
        <w:p w14:paraId="0AA1697D" w14:textId="08322415" w:rsidR="006774AC" w:rsidRPr="00BA62AC" w:rsidRDefault="006774AC" w:rsidP="00BA62AC">
          <w:pPr>
            <w:pStyle w:val="Ttulo1"/>
            <w:jc w:val="both"/>
            <w:rPr>
              <w:rFonts w:ascii="Century Gothic" w:hAnsi="Century Gothic"/>
              <w:color w:val="auto"/>
              <w:lang w:val="pt-PT"/>
            </w:rPr>
          </w:pPr>
          <w:r w:rsidRPr="00BA62AC">
            <w:rPr>
              <w:rFonts w:ascii="Century Gothic" w:hAnsi="Century Gothic"/>
              <w:color w:val="auto"/>
              <w:lang w:val="pt-PT"/>
            </w:rPr>
            <w:t>Referencias</w:t>
          </w:r>
        </w:p>
        <w:sdt>
          <w:sdtPr>
            <w:rPr>
              <w:rFonts w:ascii="Century Gothic" w:hAnsi="Century Gothic"/>
            </w:rPr>
            <w:id w:val="-573587230"/>
            <w:bibliography/>
          </w:sdtPr>
          <w:sdtEndPr>
            <w:rPr>
              <w:rFonts w:asciiTheme="minorHAnsi" w:hAnsiTheme="minorHAnsi"/>
            </w:rPr>
          </w:sdtEndPr>
          <w:sdtContent>
            <w:p w14:paraId="18EE0367" w14:textId="77777777" w:rsidR="006774AC" w:rsidRPr="00BA62AC" w:rsidRDefault="006774AC" w:rsidP="00BA62AC">
              <w:pPr>
                <w:pStyle w:val="Bibliografa"/>
                <w:ind w:left="720" w:hanging="720"/>
                <w:jc w:val="both"/>
                <w:rPr>
                  <w:rFonts w:ascii="Century Gothic" w:hAnsi="Century Gothic"/>
                  <w:noProof/>
                  <w:kern w:val="0"/>
                  <w:lang w:val="es-ES"/>
                  <w14:ligatures w14:val="none"/>
                </w:rPr>
              </w:pPr>
              <w:r w:rsidRPr="00BA62AC">
                <w:rPr>
                  <w:rFonts w:ascii="Century Gothic" w:hAnsi="Century Gothic"/>
                </w:rPr>
                <w:fldChar w:fldCharType="begin"/>
              </w:r>
              <w:r w:rsidRPr="00BA62AC">
                <w:rPr>
                  <w:rFonts w:ascii="Century Gothic" w:hAnsi="Century Gothic"/>
                  <w:lang w:val="pt-PT"/>
                </w:rPr>
                <w:instrText>BIBLIOGRAPHY</w:instrText>
              </w:r>
              <w:r w:rsidRPr="00BA62AC">
                <w:rPr>
                  <w:rFonts w:ascii="Century Gothic" w:hAnsi="Century Gothic"/>
                </w:rPr>
                <w:fldChar w:fldCharType="separate"/>
              </w:r>
              <w:r w:rsidRPr="00BA62AC">
                <w:rPr>
                  <w:rFonts w:ascii="Century Gothic" w:hAnsi="Century Gothic"/>
                  <w:noProof/>
                  <w:lang w:val="pt-PT"/>
                </w:rPr>
                <w:t xml:space="preserve">Co-operation, O. f. (2020). </w:t>
              </w:r>
              <w:r w:rsidRPr="00BA62AC">
                <w:rPr>
                  <w:rFonts w:ascii="Century Gothic" w:hAnsi="Century Gothic"/>
                  <w:i/>
                  <w:iCs/>
                  <w:noProof/>
                  <w:lang w:val="pt-PT"/>
                </w:rPr>
                <w:t>Data governance and privacy</w:t>
              </w:r>
              <w:r w:rsidRPr="00BA62AC">
                <w:rPr>
                  <w:rFonts w:ascii="Century Gothic" w:hAnsi="Century Gothic"/>
                  <w:noProof/>
                  <w:lang w:val="pt-PT"/>
                </w:rPr>
                <w:t xml:space="preserve">. </w:t>
              </w:r>
              <w:r w:rsidRPr="00BA62AC">
                <w:rPr>
                  <w:rFonts w:ascii="Century Gothic" w:hAnsi="Century Gothic"/>
                  <w:noProof/>
                  <w:lang w:val="es-ES"/>
                </w:rPr>
                <w:t>Obtenido de OECD: https://www.oecd.org/en/topics/sub-issues/data-governance.html</w:t>
              </w:r>
            </w:p>
            <w:p w14:paraId="7E0542CF" w14:textId="77777777" w:rsidR="006774AC" w:rsidRPr="00BA62AC" w:rsidRDefault="006774AC" w:rsidP="00BA62AC">
              <w:pPr>
                <w:pStyle w:val="Bibliografa"/>
                <w:ind w:left="720" w:hanging="720"/>
                <w:jc w:val="both"/>
                <w:rPr>
                  <w:rFonts w:ascii="Century Gothic" w:hAnsi="Century Gothic"/>
                  <w:noProof/>
                  <w:lang w:val="es-ES"/>
                </w:rPr>
              </w:pPr>
              <w:r w:rsidRPr="00BA62AC">
                <w:rPr>
                  <w:rFonts w:ascii="Century Gothic" w:hAnsi="Century Gothic"/>
                  <w:noProof/>
                  <w:lang w:val="es-ES"/>
                </w:rPr>
                <w:t xml:space="preserve">Health, W. (2021). </w:t>
              </w:r>
              <w:r w:rsidRPr="00BA62AC">
                <w:rPr>
                  <w:rFonts w:ascii="Century Gothic" w:hAnsi="Century Gothic"/>
                  <w:i/>
                  <w:iCs/>
                  <w:noProof/>
                  <w:lang w:val="es-ES"/>
                </w:rPr>
                <w:t>Global strategy on digital health 2020–2025</w:t>
              </w:r>
              <w:r w:rsidRPr="00BA62AC">
                <w:rPr>
                  <w:rFonts w:ascii="Century Gothic" w:hAnsi="Century Gothic"/>
                  <w:noProof/>
                  <w:lang w:val="es-ES"/>
                </w:rPr>
                <w:t>. Obtenido de World Health Organization: https://www.who.int/publications/i/item/9789240020924</w:t>
              </w:r>
            </w:p>
            <w:p w14:paraId="2AE0E87A" w14:textId="77777777" w:rsidR="006774AC" w:rsidRPr="00BA62AC" w:rsidRDefault="006774AC" w:rsidP="00BA62AC">
              <w:pPr>
                <w:pStyle w:val="Bibliografa"/>
                <w:ind w:left="720" w:hanging="720"/>
                <w:jc w:val="both"/>
                <w:rPr>
                  <w:rFonts w:ascii="Century Gothic" w:hAnsi="Century Gothic"/>
                  <w:noProof/>
                  <w:lang w:val="es-ES"/>
                </w:rPr>
              </w:pPr>
              <w:r w:rsidRPr="00BA62AC">
                <w:rPr>
                  <w:rFonts w:ascii="Century Gothic" w:hAnsi="Century Gothic"/>
                  <w:noProof/>
                  <w:lang w:val="es-ES"/>
                </w:rPr>
                <w:t xml:space="preserve">McKinsey. (2021). </w:t>
              </w:r>
              <w:r w:rsidRPr="00BA62AC">
                <w:rPr>
                  <w:rFonts w:ascii="Century Gothic" w:hAnsi="Century Gothic"/>
                  <w:i/>
                  <w:iCs/>
                  <w:noProof/>
                  <w:lang w:val="es-ES"/>
                </w:rPr>
                <w:t>The data-driven enterprise of 2025</w:t>
              </w:r>
              <w:r w:rsidRPr="00BA62AC">
                <w:rPr>
                  <w:rFonts w:ascii="Century Gothic" w:hAnsi="Century Gothic"/>
                  <w:noProof/>
                  <w:lang w:val="es-ES"/>
                </w:rPr>
                <w:t>. Obtenido de McKinsey &amp; Company: https://www.mckinsey.com/capabilities/quantumblack/our-insights/the-data-driven-enterprise-of-2025</w:t>
              </w:r>
            </w:p>
            <w:p w14:paraId="6D589DA0" w14:textId="470E3C75" w:rsidR="006774AC" w:rsidRDefault="006774AC" w:rsidP="00BA62AC">
              <w:pPr>
                <w:jc w:val="both"/>
              </w:pPr>
              <w:r w:rsidRPr="00BA62AC">
                <w:rPr>
                  <w:rFonts w:ascii="Century Gothic" w:hAnsi="Century Gothic"/>
                  <w:b/>
                  <w:bCs/>
                </w:rPr>
                <w:fldChar w:fldCharType="end"/>
              </w:r>
            </w:p>
          </w:sdtContent>
        </w:sdt>
      </w:sdtContent>
    </w:sdt>
    <w:p w14:paraId="0CAED6AA" w14:textId="77777777" w:rsidR="006774AC" w:rsidRPr="006774AC" w:rsidRDefault="006774AC" w:rsidP="006774AC">
      <w:pPr>
        <w:jc w:val="both"/>
        <w:rPr>
          <w:rFonts w:ascii="Century Gothic" w:hAnsi="Century Gothic"/>
        </w:rPr>
      </w:pPr>
    </w:p>
    <w:p w14:paraId="24F80D9A" w14:textId="77777777" w:rsidR="00986963" w:rsidRPr="006774AC" w:rsidRDefault="00986963" w:rsidP="006774AC">
      <w:pPr>
        <w:jc w:val="both"/>
        <w:rPr>
          <w:rFonts w:ascii="Century Gothic" w:hAnsi="Century Gothic"/>
        </w:rPr>
      </w:pPr>
    </w:p>
    <w:sectPr w:rsidR="00986963" w:rsidRPr="006774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AC"/>
    <w:rsid w:val="006774AC"/>
    <w:rsid w:val="00924738"/>
    <w:rsid w:val="00986963"/>
    <w:rsid w:val="00BA62AC"/>
    <w:rsid w:val="00E2385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3D65"/>
  <w15:chartTrackingRefBased/>
  <w15:docId w15:val="{054B58B6-6F3F-40DF-BB22-56E104B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4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4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4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4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4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4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4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4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4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4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4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4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4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4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4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4AC"/>
    <w:rPr>
      <w:rFonts w:eastAsiaTheme="majorEastAsia" w:cstheme="majorBidi"/>
      <w:color w:val="272727" w:themeColor="text1" w:themeTint="D8"/>
    </w:rPr>
  </w:style>
  <w:style w:type="paragraph" w:styleId="Ttulo">
    <w:name w:val="Title"/>
    <w:basedOn w:val="Normal"/>
    <w:next w:val="Normal"/>
    <w:link w:val="TtuloCar"/>
    <w:uiPriority w:val="10"/>
    <w:qFormat/>
    <w:rsid w:val="0067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4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4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4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4AC"/>
    <w:pPr>
      <w:spacing w:before="160"/>
      <w:jc w:val="center"/>
    </w:pPr>
    <w:rPr>
      <w:i/>
      <w:iCs/>
      <w:color w:val="404040" w:themeColor="text1" w:themeTint="BF"/>
    </w:rPr>
  </w:style>
  <w:style w:type="character" w:customStyle="1" w:styleId="CitaCar">
    <w:name w:val="Cita Car"/>
    <w:basedOn w:val="Fuentedeprrafopredeter"/>
    <w:link w:val="Cita"/>
    <w:uiPriority w:val="29"/>
    <w:rsid w:val="006774AC"/>
    <w:rPr>
      <w:i/>
      <w:iCs/>
      <w:color w:val="404040" w:themeColor="text1" w:themeTint="BF"/>
    </w:rPr>
  </w:style>
  <w:style w:type="paragraph" w:styleId="Prrafodelista">
    <w:name w:val="List Paragraph"/>
    <w:basedOn w:val="Normal"/>
    <w:uiPriority w:val="34"/>
    <w:qFormat/>
    <w:rsid w:val="006774AC"/>
    <w:pPr>
      <w:ind w:left="720"/>
      <w:contextualSpacing/>
    </w:pPr>
  </w:style>
  <w:style w:type="character" w:styleId="nfasisintenso">
    <w:name w:val="Intense Emphasis"/>
    <w:basedOn w:val="Fuentedeprrafopredeter"/>
    <w:uiPriority w:val="21"/>
    <w:qFormat/>
    <w:rsid w:val="006774AC"/>
    <w:rPr>
      <w:i/>
      <w:iCs/>
      <w:color w:val="0F4761" w:themeColor="accent1" w:themeShade="BF"/>
    </w:rPr>
  </w:style>
  <w:style w:type="paragraph" w:styleId="Citadestacada">
    <w:name w:val="Intense Quote"/>
    <w:basedOn w:val="Normal"/>
    <w:next w:val="Normal"/>
    <w:link w:val="CitadestacadaCar"/>
    <w:uiPriority w:val="30"/>
    <w:qFormat/>
    <w:rsid w:val="00677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4AC"/>
    <w:rPr>
      <w:i/>
      <w:iCs/>
      <w:color w:val="0F4761" w:themeColor="accent1" w:themeShade="BF"/>
    </w:rPr>
  </w:style>
  <w:style w:type="character" w:styleId="Referenciaintensa">
    <w:name w:val="Intense Reference"/>
    <w:basedOn w:val="Fuentedeprrafopredeter"/>
    <w:uiPriority w:val="32"/>
    <w:qFormat/>
    <w:rsid w:val="006774AC"/>
    <w:rPr>
      <w:b/>
      <w:bCs/>
      <w:smallCaps/>
      <w:color w:val="0F4761" w:themeColor="accent1" w:themeShade="BF"/>
      <w:spacing w:val="5"/>
    </w:rPr>
  </w:style>
  <w:style w:type="paragraph" w:styleId="NormalWeb">
    <w:name w:val="Normal (Web)"/>
    <w:basedOn w:val="Normal"/>
    <w:uiPriority w:val="99"/>
    <w:semiHidden/>
    <w:unhideWhenUsed/>
    <w:rsid w:val="006774AC"/>
    <w:rPr>
      <w:rFonts w:ascii="Times New Roman" w:hAnsi="Times New Roman" w:cs="Times New Roman"/>
    </w:rPr>
  </w:style>
  <w:style w:type="paragraph" w:styleId="Bibliografa">
    <w:name w:val="Bibliography"/>
    <w:basedOn w:val="Normal"/>
    <w:next w:val="Normal"/>
    <w:uiPriority w:val="37"/>
    <w:unhideWhenUsed/>
    <w:rsid w:val="0067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11436">
      <w:bodyDiv w:val="1"/>
      <w:marLeft w:val="0"/>
      <w:marRight w:val="0"/>
      <w:marTop w:val="0"/>
      <w:marBottom w:val="0"/>
      <w:divBdr>
        <w:top w:val="none" w:sz="0" w:space="0" w:color="auto"/>
        <w:left w:val="none" w:sz="0" w:space="0" w:color="auto"/>
        <w:bottom w:val="none" w:sz="0" w:space="0" w:color="auto"/>
        <w:right w:val="none" w:sz="0" w:space="0" w:color="auto"/>
      </w:divBdr>
    </w:div>
    <w:div w:id="497188270">
      <w:bodyDiv w:val="1"/>
      <w:marLeft w:val="0"/>
      <w:marRight w:val="0"/>
      <w:marTop w:val="0"/>
      <w:marBottom w:val="0"/>
      <w:divBdr>
        <w:top w:val="none" w:sz="0" w:space="0" w:color="auto"/>
        <w:left w:val="none" w:sz="0" w:space="0" w:color="auto"/>
        <w:bottom w:val="none" w:sz="0" w:space="0" w:color="auto"/>
        <w:right w:val="none" w:sz="0" w:space="0" w:color="auto"/>
      </w:divBdr>
    </w:div>
    <w:div w:id="984772390">
      <w:bodyDiv w:val="1"/>
      <w:marLeft w:val="0"/>
      <w:marRight w:val="0"/>
      <w:marTop w:val="0"/>
      <w:marBottom w:val="0"/>
      <w:divBdr>
        <w:top w:val="none" w:sz="0" w:space="0" w:color="auto"/>
        <w:left w:val="none" w:sz="0" w:space="0" w:color="auto"/>
        <w:bottom w:val="none" w:sz="0" w:space="0" w:color="auto"/>
        <w:right w:val="none" w:sz="0" w:space="0" w:color="auto"/>
      </w:divBdr>
    </w:div>
    <w:div w:id="1124808749">
      <w:bodyDiv w:val="1"/>
      <w:marLeft w:val="0"/>
      <w:marRight w:val="0"/>
      <w:marTop w:val="0"/>
      <w:marBottom w:val="0"/>
      <w:divBdr>
        <w:top w:val="none" w:sz="0" w:space="0" w:color="auto"/>
        <w:left w:val="none" w:sz="0" w:space="0" w:color="auto"/>
        <w:bottom w:val="none" w:sz="0" w:space="0" w:color="auto"/>
        <w:right w:val="none" w:sz="0" w:space="0" w:color="auto"/>
      </w:divBdr>
    </w:div>
    <w:div w:id="1333144963">
      <w:bodyDiv w:val="1"/>
      <w:marLeft w:val="0"/>
      <w:marRight w:val="0"/>
      <w:marTop w:val="0"/>
      <w:marBottom w:val="0"/>
      <w:divBdr>
        <w:top w:val="none" w:sz="0" w:space="0" w:color="auto"/>
        <w:left w:val="none" w:sz="0" w:space="0" w:color="auto"/>
        <w:bottom w:val="none" w:sz="0" w:space="0" w:color="auto"/>
        <w:right w:val="none" w:sz="0" w:space="0" w:color="auto"/>
      </w:divBdr>
    </w:div>
    <w:div w:id="1391999101">
      <w:bodyDiv w:val="1"/>
      <w:marLeft w:val="0"/>
      <w:marRight w:val="0"/>
      <w:marTop w:val="0"/>
      <w:marBottom w:val="0"/>
      <w:divBdr>
        <w:top w:val="none" w:sz="0" w:space="0" w:color="auto"/>
        <w:left w:val="none" w:sz="0" w:space="0" w:color="auto"/>
        <w:bottom w:val="none" w:sz="0" w:space="0" w:color="auto"/>
        <w:right w:val="none" w:sz="0" w:space="0" w:color="auto"/>
      </w:divBdr>
    </w:div>
    <w:div w:id="1540702804">
      <w:bodyDiv w:val="1"/>
      <w:marLeft w:val="0"/>
      <w:marRight w:val="0"/>
      <w:marTop w:val="0"/>
      <w:marBottom w:val="0"/>
      <w:divBdr>
        <w:top w:val="none" w:sz="0" w:space="0" w:color="auto"/>
        <w:left w:val="none" w:sz="0" w:space="0" w:color="auto"/>
        <w:bottom w:val="none" w:sz="0" w:space="0" w:color="auto"/>
        <w:right w:val="none" w:sz="0" w:space="0" w:color="auto"/>
      </w:divBdr>
    </w:div>
    <w:div w:id="2001999945">
      <w:bodyDiv w:val="1"/>
      <w:marLeft w:val="0"/>
      <w:marRight w:val="0"/>
      <w:marTop w:val="0"/>
      <w:marBottom w:val="0"/>
      <w:divBdr>
        <w:top w:val="none" w:sz="0" w:space="0" w:color="auto"/>
        <w:left w:val="none" w:sz="0" w:space="0" w:color="auto"/>
        <w:bottom w:val="none" w:sz="0" w:space="0" w:color="auto"/>
        <w:right w:val="none" w:sz="0" w:space="0" w:color="auto"/>
      </w:divBdr>
    </w:div>
    <w:div w:id="2104036314">
      <w:bodyDiv w:val="1"/>
      <w:marLeft w:val="0"/>
      <w:marRight w:val="0"/>
      <w:marTop w:val="0"/>
      <w:marBottom w:val="0"/>
      <w:divBdr>
        <w:top w:val="none" w:sz="0" w:space="0" w:color="auto"/>
        <w:left w:val="none" w:sz="0" w:space="0" w:color="auto"/>
        <w:bottom w:val="none" w:sz="0" w:space="0" w:color="auto"/>
        <w:right w:val="none" w:sz="0" w:space="0" w:color="auto"/>
      </w:divBdr>
    </w:div>
    <w:div w:id="21215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Wor21</b:Tag>
    <b:SourceType>InternetSite</b:SourceType>
    <b:Guid>{A6218997-B913-4EB2-AEA1-5E36ADF71779}</b:Guid>
    <b:Author>
      <b:Author>
        <b:NameList>
          <b:Person>
            <b:Last>Health</b:Last>
            <b:First>World</b:First>
          </b:Person>
        </b:NameList>
      </b:Author>
    </b:Author>
    <b:Title>Global strategy on digital health 2020–2025</b:Title>
    <b:InternetSiteTitle>World Health Organization</b:InternetSiteTitle>
    <b:Year>2021</b:Year>
    <b:URL>https://www.who.int/publications/i/item/9789240020924</b:URL>
    <b:RefOrder>1</b:RefOrder>
  </b:Source>
  <b:Source>
    <b:Tag>McK21</b:Tag>
    <b:SourceType>InternetSite</b:SourceType>
    <b:Guid>{8C73F6DA-A496-43EC-8F83-44B0F29B5B0A}</b:Guid>
    <b:Author>
      <b:Author>
        <b:NameList>
          <b:Person>
            <b:Last>McKinsey</b:Last>
          </b:Person>
        </b:NameList>
      </b:Author>
    </b:Author>
    <b:Title>The data-driven enterprise of 2025</b:Title>
    <b:InternetSiteTitle>McKinsey &amp; Company</b:InternetSiteTitle>
    <b:Year>2021</b:Year>
    <b:URL>https://www.mckinsey.com/capabilities/quantumblack/our-insights/the-data-driven-enterprise-of-2025</b:URL>
    <b:RefOrder>2</b:RefOrder>
  </b:Source>
  <b:Source>
    <b:Tag>Org20</b:Tag>
    <b:SourceType>InternetSite</b:SourceType>
    <b:Guid>{0DCE9D27-8065-4F28-9673-208EF45C9ACB}</b:Guid>
    <b:Author>
      <b:Author>
        <b:NameList>
          <b:Person>
            <b:Last>Co-operation</b:Last>
            <b:First>Organisation</b:First>
            <b:Middle>for Economic</b:Middle>
          </b:Person>
        </b:NameList>
      </b:Author>
    </b:Author>
    <b:Title>Data governance and privacy</b:Title>
    <b:InternetSiteTitle>OECD</b:InternetSiteTitle>
    <b:Year>2020</b:Year>
    <b:URL>https://www.oecd.org/en/topics/sub-issues/data-governance.html</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A5673F8B1EF7EF4E80EEF3F82D4337E9" ma:contentTypeVersion="17" ma:contentTypeDescription="Crear nuevo documento." ma:contentTypeScope="" ma:versionID="1a47ea25249762234dc87e835b1ce937">
  <xsd:schema xmlns:xsd="http://www.w3.org/2001/XMLSchema" xmlns:xs="http://www.w3.org/2001/XMLSchema" xmlns:p="http://schemas.microsoft.com/office/2006/metadata/properties" xmlns:ns3="a7f6e49f-7900-4e33-b206-16b7d7c1245e" xmlns:ns4="74cbad23-6b97-4b95-8d6a-2c65da6aafc9" targetNamespace="http://schemas.microsoft.com/office/2006/metadata/properties" ma:root="true" ma:fieldsID="f27d8d4466440c9e69c9c84922eb7291" ns3:_="" ns4:_="">
    <xsd:import namespace="a7f6e49f-7900-4e33-b206-16b7d7c1245e"/>
    <xsd:import namespace="74cbad23-6b97-4b95-8d6a-2c65da6aaf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e49f-7900-4e33-b206-16b7d7c12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bad23-6b97-4b95-8d6a-2c65da6aafc9"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f6e49f-7900-4e33-b206-16b7d7c1245e" xsi:nil="true"/>
  </documentManagement>
</p:properties>
</file>

<file path=customXml/itemProps1.xml><?xml version="1.0" encoding="utf-8"?>
<ds:datastoreItem xmlns:ds="http://schemas.openxmlformats.org/officeDocument/2006/customXml" ds:itemID="{31E62762-AFA6-43FD-9293-D16F419E5E9D}">
  <ds:schemaRefs>
    <ds:schemaRef ds:uri="http://schemas.openxmlformats.org/officeDocument/2006/bibliography"/>
  </ds:schemaRefs>
</ds:datastoreItem>
</file>

<file path=customXml/itemProps2.xml><?xml version="1.0" encoding="utf-8"?>
<ds:datastoreItem xmlns:ds="http://schemas.openxmlformats.org/officeDocument/2006/customXml" ds:itemID="{7C170727-B0F0-4628-B0E2-1D03A6C1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e49f-7900-4e33-b206-16b7d7c1245e"/>
    <ds:schemaRef ds:uri="74cbad23-6b97-4b95-8d6a-2c65da6a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5F0C9-5D7E-4410-8182-D316A27306C7}">
  <ds:schemaRefs>
    <ds:schemaRef ds:uri="http://schemas.microsoft.com/sharepoint/v3/contenttype/forms"/>
  </ds:schemaRefs>
</ds:datastoreItem>
</file>

<file path=customXml/itemProps4.xml><?xml version="1.0" encoding="utf-8"?>
<ds:datastoreItem xmlns:ds="http://schemas.openxmlformats.org/officeDocument/2006/customXml" ds:itemID="{5833BFAD-FF18-41D3-9819-1E76ECBFED97}">
  <ds:schemaRefs>
    <ds:schemaRef ds:uri="http://schemas.microsoft.com/office/2006/metadata/properties"/>
    <ds:schemaRef ds:uri="http://schemas.microsoft.com/office/infopath/2007/PartnerControls"/>
    <ds:schemaRef ds:uri="a7f6e49f-7900-4e33-b206-16b7d7c124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3043</Characters>
  <Application>Microsoft Office Word</Application>
  <DocSecurity>0</DocSecurity>
  <Lines>50</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David Pilamunga Valla</dc:creator>
  <cp:keywords/>
  <dc:description/>
  <cp:lastModifiedBy>Jonathan David Pilamunga Valla</cp:lastModifiedBy>
  <cp:revision>2</cp:revision>
  <dcterms:created xsi:type="dcterms:W3CDTF">2026-01-16T03:07:00Z</dcterms:created>
  <dcterms:modified xsi:type="dcterms:W3CDTF">2026-01-16T03:07:00Z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0x010100A5673F8B1EF7EF4E80EEF3F82D4337E9</vt:lpwstr>
  </property>
</Properties>
</file>